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2B308">
      <w:pPr>
        <w:rPr>
          <w:rFonts w:hint="default" w:ascii="Times New Roman" w:hAnsi="Times New Roman" w:eastAsia="仿宋_GB2312" w:cs="Times New Roman"/>
          <w:color w:val="auto"/>
          <w:sz w:val="36"/>
          <w:szCs w:val="36"/>
        </w:rPr>
      </w:pPr>
    </w:p>
    <w:p w14:paraId="23514817">
      <w:pPr>
        <w:rPr>
          <w:rFonts w:hint="default" w:ascii="Times New Roman" w:hAnsi="Times New Roman" w:eastAsia="仿宋_GB2312" w:cs="Times New Roman"/>
          <w:color w:val="auto"/>
          <w:sz w:val="36"/>
          <w:szCs w:val="36"/>
        </w:rPr>
      </w:pPr>
    </w:p>
    <w:p w14:paraId="719B3129">
      <w:pPr>
        <w:rPr>
          <w:rFonts w:hint="default" w:ascii="Times New Roman" w:hAnsi="Times New Roman" w:eastAsia="仿宋_GB2312" w:cs="Times New Roman"/>
          <w:color w:val="auto"/>
          <w:sz w:val="36"/>
          <w:szCs w:val="36"/>
        </w:rPr>
      </w:pPr>
    </w:p>
    <w:p w14:paraId="24644C60">
      <w:pPr>
        <w:adjustRightInd w:val="0"/>
        <w:snapToGrid w:val="0"/>
        <w:ind w:firstLine="0" w:firstLineChars="0"/>
        <w:jc w:val="center"/>
        <w:outlineLvl w:val="9"/>
        <w:rPr>
          <w:rFonts w:hint="default" w:ascii="Times New Roman" w:hAnsi="Times New Roman" w:eastAsia="方正小标宋_GBK" w:cs="Times New Roman"/>
          <w:bCs/>
          <w:color w:val="auto"/>
          <w:sz w:val="72"/>
          <w:szCs w:val="72"/>
        </w:rPr>
      </w:pPr>
      <w:bookmarkStart w:id="0" w:name="_Toc177"/>
      <w:bookmarkStart w:id="1" w:name="_Toc10548"/>
      <w:bookmarkStart w:id="2" w:name="_Toc10546"/>
      <w:bookmarkStart w:id="3" w:name="_Toc27495"/>
      <w:r>
        <w:rPr>
          <w:rFonts w:hint="default" w:ascii="Times New Roman" w:hAnsi="Times New Roman" w:eastAsia="方正小标宋_GBK" w:cs="Times New Roman"/>
          <w:bCs/>
          <w:color w:val="auto"/>
          <w:sz w:val="72"/>
          <w:szCs w:val="72"/>
        </w:rPr>
        <w:t>建设项目环境影响报告表</w:t>
      </w:r>
      <w:bookmarkEnd w:id="0"/>
      <w:bookmarkEnd w:id="1"/>
      <w:bookmarkEnd w:id="2"/>
      <w:bookmarkEnd w:id="3"/>
    </w:p>
    <w:p w14:paraId="24906C48">
      <w:pPr>
        <w:adjustRightInd w:val="0"/>
        <w:snapToGrid w:val="0"/>
        <w:ind w:firstLine="0" w:firstLineChars="0"/>
        <w:jc w:val="center"/>
        <w:outlineLvl w:val="9"/>
        <w:rPr>
          <w:rFonts w:hint="default" w:ascii="Times New Roman" w:hAnsi="Times New Roman" w:eastAsia="楷体_GB2312" w:cs="Times New Roman"/>
          <w:bCs/>
          <w:color w:val="auto"/>
          <w:sz w:val="48"/>
          <w:szCs w:val="48"/>
        </w:rPr>
      </w:pPr>
      <w:bookmarkStart w:id="4" w:name="_Toc172"/>
      <w:bookmarkStart w:id="5" w:name="_Toc7995"/>
      <w:bookmarkStart w:id="6" w:name="_Toc17213"/>
      <w:bookmarkStart w:id="7" w:name="_Toc1390"/>
      <w:r>
        <w:rPr>
          <w:rFonts w:hint="default" w:ascii="Times New Roman" w:hAnsi="Times New Roman" w:eastAsia="楷体_GB2312" w:cs="Times New Roman"/>
          <w:bCs/>
          <w:color w:val="auto"/>
          <w:sz w:val="48"/>
          <w:szCs w:val="48"/>
        </w:rPr>
        <w:t>（污染影响类）</w:t>
      </w:r>
      <w:bookmarkEnd w:id="4"/>
      <w:bookmarkEnd w:id="5"/>
      <w:bookmarkEnd w:id="6"/>
      <w:bookmarkEnd w:id="7"/>
    </w:p>
    <w:p w14:paraId="75963EA5">
      <w:pPr>
        <w:ind w:firstLine="480"/>
        <w:rPr>
          <w:rFonts w:hint="default" w:ascii="Times New Roman" w:hAnsi="Times New Roman" w:cs="Times New Roman"/>
          <w:color w:val="auto"/>
        </w:rPr>
      </w:pPr>
    </w:p>
    <w:p w14:paraId="5F8D8A5E">
      <w:pPr>
        <w:ind w:firstLine="480"/>
        <w:rPr>
          <w:rFonts w:hint="default" w:ascii="Times New Roman" w:hAnsi="Times New Roman" w:cs="Times New Roman"/>
          <w:color w:val="auto"/>
        </w:rPr>
      </w:pPr>
    </w:p>
    <w:p w14:paraId="6D753837">
      <w:pPr>
        <w:ind w:firstLine="480"/>
        <w:rPr>
          <w:rFonts w:hint="default" w:ascii="Times New Roman" w:hAnsi="Times New Roman" w:cs="Times New Roman"/>
          <w:color w:val="auto"/>
        </w:rPr>
      </w:pPr>
    </w:p>
    <w:p w14:paraId="6573BE4D">
      <w:pPr>
        <w:ind w:firstLine="480"/>
        <w:rPr>
          <w:rFonts w:hint="default" w:ascii="Times New Roman" w:hAnsi="Times New Roman" w:cs="Times New Roman"/>
          <w:color w:val="auto"/>
        </w:rPr>
      </w:pPr>
    </w:p>
    <w:p w14:paraId="048E9D1C">
      <w:pPr>
        <w:ind w:firstLine="480"/>
        <w:rPr>
          <w:rFonts w:hint="default" w:ascii="Times New Roman" w:hAnsi="Times New Roman" w:cs="Times New Roman"/>
          <w:color w:val="auto"/>
        </w:rPr>
      </w:pPr>
    </w:p>
    <w:p w14:paraId="2A0B312E">
      <w:pPr>
        <w:ind w:firstLine="480"/>
        <w:rPr>
          <w:rFonts w:hint="default" w:ascii="Times New Roman" w:hAnsi="Times New Roman" w:cs="Times New Roman"/>
          <w:color w:val="auto"/>
        </w:rPr>
      </w:pPr>
    </w:p>
    <w:p w14:paraId="5AE4ED32">
      <w:pPr>
        <w:ind w:firstLine="480"/>
        <w:rPr>
          <w:rFonts w:hint="default" w:ascii="Times New Roman" w:hAnsi="Times New Roman" w:cs="Times New Roman"/>
          <w:color w:val="auto"/>
        </w:rPr>
      </w:pPr>
    </w:p>
    <w:p w14:paraId="71202E6A">
      <w:pPr>
        <w:ind w:firstLine="480"/>
        <w:rPr>
          <w:rFonts w:hint="default" w:ascii="Times New Roman" w:hAnsi="Times New Roman" w:cs="Times New Roman"/>
          <w:color w:val="auto"/>
        </w:rPr>
      </w:pPr>
    </w:p>
    <w:p w14:paraId="12BB9890">
      <w:pPr>
        <w:ind w:firstLine="480"/>
        <w:rPr>
          <w:rFonts w:hint="default" w:ascii="Times New Roman" w:hAnsi="Times New Roman" w:cs="Times New Roman"/>
          <w:color w:val="auto"/>
        </w:rPr>
      </w:pPr>
    </w:p>
    <w:p w14:paraId="0EB1D3B7">
      <w:pPr>
        <w:adjustRightInd w:val="0"/>
        <w:snapToGrid w:val="0"/>
        <w:spacing w:line="288" w:lineRule="auto"/>
        <w:ind w:firstLine="360" w:firstLineChars="100"/>
        <w:rPr>
          <w:rFonts w:eastAsia="仿宋_GB2312"/>
          <w:color w:val="auto"/>
          <w:sz w:val="36"/>
          <w:szCs w:val="36"/>
          <w:u w:val="single"/>
        </w:rPr>
      </w:pPr>
      <w:r>
        <w:rPr>
          <w:rFonts w:eastAsia="仿宋_GB2312"/>
          <w:color w:val="auto"/>
          <w:sz w:val="36"/>
          <w:szCs w:val="36"/>
        </w:rPr>
        <w:t>项目名称：</w:t>
      </w:r>
      <w:r>
        <w:rPr>
          <w:rFonts w:hint="eastAsia" w:eastAsia="仿宋_GB2312"/>
          <w:color w:val="auto"/>
          <w:sz w:val="36"/>
          <w:szCs w:val="36"/>
          <w:lang w:val="en-US" w:eastAsia="zh-CN"/>
        </w:rPr>
        <w:t xml:space="preserve"> </w:t>
      </w:r>
      <w:r>
        <w:rPr>
          <w:rFonts w:hint="eastAsia" w:eastAsia="仿宋_GB2312"/>
          <w:color w:val="auto"/>
          <w:sz w:val="36"/>
          <w:szCs w:val="36"/>
          <w:u w:val="single"/>
          <w:lang w:eastAsia="zh-CN"/>
        </w:rPr>
        <w:t>年产300万只保温容器外壳项目</w:t>
      </w:r>
      <w:r>
        <w:rPr>
          <w:rFonts w:hint="eastAsia" w:eastAsia="仿宋_GB2312"/>
          <w:color w:val="auto"/>
          <w:sz w:val="36"/>
          <w:szCs w:val="36"/>
          <w:u w:val="single"/>
          <w:lang w:val="en-US" w:eastAsia="zh-CN"/>
        </w:rPr>
        <w:t xml:space="preserve"> </w:t>
      </w:r>
    </w:p>
    <w:p w14:paraId="28604D0D">
      <w:pPr>
        <w:adjustRightInd w:val="0"/>
        <w:snapToGrid w:val="0"/>
        <w:spacing w:line="288" w:lineRule="auto"/>
        <w:ind w:firstLine="360" w:firstLineChars="100"/>
        <w:rPr>
          <w:rFonts w:hint="default" w:eastAsia="仿宋_GB2312"/>
          <w:color w:val="auto"/>
          <w:sz w:val="36"/>
          <w:szCs w:val="36"/>
          <w:u w:val="single"/>
          <w:lang w:val="en-US" w:eastAsia="zh-CN"/>
        </w:rPr>
      </w:pPr>
      <w:r>
        <w:rPr>
          <w:rFonts w:eastAsia="仿宋_GB2312"/>
          <w:color w:val="auto"/>
          <w:sz w:val="36"/>
          <w:szCs w:val="36"/>
        </w:rPr>
        <w:t>建设单位(盖章)：</w:t>
      </w:r>
      <w:r>
        <w:rPr>
          <w:rFonts w:eastAsia="仿宋_GB2312"/>
          <w:color w:val="auto"/>
          <w:sz w:val="36"/>
          <w:szCs w:val="36"/>
          <w:u w:val="single"/>
        </w:rPr>
        <w:t xml:space="preserve"> </w:t>
      </w:r>
      <w:r>
        <w:rPr>
          <w:rFonts w:hint="eastAsia" w:eastAsia="仿宋_GB2312"/>
          <w:color w:val="auto"/>
          <w:sz w:val="36"/>
          <w:szCs w:val="36"/>
          <w:u w:val="single"/>
          <w:lang w:eastAsia="zh-CN"/>
        </w:rPr>
        <w:t>蚌埠壹度家居用品有限责任公司</w:t>
      </w:r>
      <w:r>
        <w:rPr>
          <w:rFonts w:hint="eastAsia" w:eastAsia="仿宋_GB2312"/>
          <w:color w:val="auto"/>
          <w:sz w:val="36"/>
          <w:szCs w:val="36"/>
          <w:u w:val="single"/>
        </w:rPr>
        <w:t xml:space="preserve"> </w:t>
      </w:r>
    </w:p>
    <w:p w14:paraId="7D850691">
      <w:pPr>
        <w:adjustRightInd w:val="0"/>
        <w:snapToGrid w:val="0"/>
        <w:spacing w:line="288" w:lineRule="auto"/>
        <w:ind w:firstLine="360" w:firstLineChars="100"/>
        <w:rPr>
          <w:rFonts w:eastAsia="仿宋_GB2312"/>
          <w:color w:val="auto"/>
          <w:sz w:val="36"/>
          <w:szCs w:val="36"/>
          <w:u w:val="single"/>
        </w:rPr>
      </w:pPr>
      <w:r>
        <w:rPr>
          <w:rFonts w:eastAsia="仿宋_GB2312"/>
          <w:color w:val="auto"/>
          <w:sz w:val="36"/>
          <w:szCs w:val="36"/>
        </w:rPr>
        <w:t>编制日期：</w:t>
      </w:r>
      <w:r>
        <w:rPr>
          <w:rFonts w:eastAsia="仿宋_GB2312"/>
          <w:color w:val="auto"/>
          <w:sz w:val="36"/>
          <w:szCs w:val="36"/>
          <w:u w:val="single"/>
        </w:rPr>
        <w:t xml:space="preserve">      </w:t>
      </w:r>
      <w:r>
        <w:rPr>
          <w:rFonts w:hint="eastAsia" w:eastAsia="仿宋_GB2312"/>
          <w:color w:val="auto"/>
          <w:sz w:val="36"/>
          <w:szCs w:val="36"/>
          <w:u w:val="single"/>
        </w:rPr>
        <w:t xml:space="preserve"> </w:t>
      </w:r>
      <w:r>
        <w:rPr>
          <w:rFonts w:eastAsia="仿宋_GB2312"/>
          <w:color w:val="auto"/>
          <w:sz w:val="36"/>
          <w:szCs w:val="36"/>
          <w:u w:val="single"/>
        </w:rPr>
        <w:t xml:space="preserve">     202</w:t>
      </w:r>
      <w:r>
        <w:rPr>
          <w:rFonts w:hint="eastAsia" w:eastAsia="仿宋_GB2312"/>
          <w:color w:val="auto"/>
          <w:sz w:val="36"/>
          <w:szCs w:val="36"/>
          <w:u w:val="single"/>
          <w:lang w:val="en-US" w:eastAsia="zh-CN"/>
        </w:rPr>
        <w:t>6</w:t>
      </w:r>
      <w:r>
        <w:rPr>
          <w:rFonts w:eastAsia="仿宋_GB2312"/>
          <w:color w:val="auto"/>
          <w:sz w:val="36"/>
          <w:szCs w:val="36"/>
          <w:u w:val="single"/>
        </w:rPr>
        <w:t>年</w:t>
      </w:r>
      <w:r>
        <w:rPr>
          <w:rFonts w:hint="eastAsia" w:eastAsia="仿宋_GB2312"/>
          <w:color w:val="auto"/>
          <w:sz w:val="36"/>
          <w:szCs w:val="36"/>
          <w:u w:val="single"/>
          <w:lang w:val="en-US" w:eastAsia="zh-CN"/>
        </w:rPr>
        <w:t>7</w:t>
      </w:r>
      <w:r>
        <w:rPr>
          <w:rFonts w:eastAsia="仿宋_GB2312"/>
          <w:color w:val="auto"/>
          <w:sz w:val="36"/>
          <w:szCs w:val="36"/>
          <w:u w:val="single"/>
        </w:rPr>
        <w:t xml:space="preserve">月           </w:t>
      </w:r>
    </w:p>
    <w:p w14:paraId="3A8B08E5">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5B2D6722">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1B455683">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0DCB0338">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4DDD1790">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26D6C6E4">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pPr>
    </w:p>
    <w:p w14:paraId="410DB93E">
      <w:pPr>
        <w:adjustRightInd w:val="0"/>
        <w:snapToGrid w:val="0"/>
        <w:spacing w:line="288" w:lineRule="auto"/>
        <w:ind w:firstLine="0" w:firstLineChars="0"/>
        <w:jc w:val="center"/>
        <w:rPr>
          <w:rFonts w:hint="default" w:ascii="Times New Roman" w:hAnsi="Times New Roman" w:eastAsia="楷体_GB2312" w:cs="Times New Roman"/>
          <w:color w:val="auto"/>
          <w:sz w:val="36"/>
          <w:szCs w:val="36"/>
        </w:rPr>
        <w:sectPr>
          <w:headerReference r:id="rId6" w:type="first"/>
          <w:footerReference r:id="rId9" w:type="first"/>
          <w:footerReference r:id="rId7" w:type="default"/>
          <w:headerReference r:id="rId5" w:type="even"/>
          <w:footerReference r:id="rId8" w:type="even"/>
          <w:pgSz w:w="11906" w:h="16838"/>
          <w:pgMar w:top="1440" w:right="1803" w:bottom="1440" w:left="1803" w:header="851" w:footer="1077" w:gutter="0"/>
          <w:pgBorders>
            <w:top w:val="none" w:sz="0" w:space="0"/>
            <w:left w:val="none" w:sz="0" w:space="0"/>
            <w:bottom w:val="none" w:sz="0" w:space="0"/>
            <w:right w:val="none" w:sz="0" w:space="0"/>
          </w:pgBorders>
          <w:pgNumType w:start="3"/>
          <w:cols w:space="720" w:num="1"/>
          <w:docGrid w:linePitch="312" w:charSpace="0"/>
        </w:sectPr>
      </w:pPr>
    </w:p>
    <w:sdt>
      <w:sdtPr>
        <w:rPr>
          <w:rFonts w:hint="default" w:ascii="Times New Roman" w:hAnsi="Times New Roman" w:eastAsia="宋体" w:cs="Times New Roman"/>
          <w:color w:val="auto"/>
          <w:kern w:val="2"/>
          <w:sz w:val="44"/>
          <w:szCs w:val="44"/>
          <w:lang w:val="en-US" w:eastAsia="zh-CN" w:bidi="ar-SA"/>
        </w:rPr>
        <w:id w:val="147451207"/>
        <w15:color w:val="DBDBDB"/>
        <w:docPartObj>
          <w:docPartGallery w:val="Table of Contents"/>
          <w:docPartUnique/>
        </w:docPartObj>
      </w:sdtPr>
      <w:sdtEndPr>
        <w:rPr>
          <w:rFonts w:hint="default" w:ascii="宋体" w:hAnsi="宋体" w:eastAsia="宋体" w:cs="Times New Roman"/>
          <w:color w:val="auto"/>
          <w:kern w:val="2"/>
          <w:sz w:val="21"/>
          <w:szCs w:val="24"/>
          <w:lang w:val="en-US" w:eastAsia="zh-CN" w:bidi="ar-SA"/>
        </w:rPr>
      </w:sdtEndPr>
      <w:sdtContent>
        <w:p w14:paraId="010B6D74">
          <w:pPr>
            <w:spacing w:before="0" w:beforeLines="0" w:after="0" w:afterLines="0" w:line="240" w:lineRule="auto"/>
            <w:ind w:left="0" w:leftChars="0" w:right="0" w:rightChars="0" w:firstLine="0" w:firstLineChars="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目</w:t>
          </w:r>
          <w:r>
            <w:rPr>
              <w:rFonts w:hint="eastAsia"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录</w:t>
          </w:r>
        </w:p>
        <w:p w14:paraId="60B6EEAB">
          <w:pPr>
            <w:spacing w:before="0" w:beforeLines="0" w:after="0" w:afterLines="0" w:line="240" w:lineRule="auto"/>
            <w:ind w:left="0" w:leftChars="0" w:right="0" w:rightChars="0" w:firstLine="0" w:firstLineChars="0"/>
            <w:jc w:val="center"/>
            <w:rPr>
              <w:rFonts w:hint="default" w:ascii="Times New Roman" w:hAnsi="Times New Roman" w:eastAsia="宋体" w:cs="Times New Roman"/>
              <w:color w:val="auto"/>
              <w:sz w:val="44"/>
              <w:szCs w:val="44"/>
            </w:rPr>
          </w:pPr>
        </w:p>
        <w:p w14:paraId="27E30BE4">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TOC \o "1-1" \h \u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_Toc28770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szCs w:val="30"/>
            </w:rPr>
            <w:t>一、建设项目基本情况</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_Toc28770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1</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3F44E898">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_Toc12476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szCs w:val="30"/>
            </w:rPr>
            <w:t>二、建设项目工程分析</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_Toc12476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25</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3B86B163">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_Toc31211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szCs w:val="30"/>
            </w:rPr>
            <w:t>三、区域环境质量现状、环境保护目标及评价标准</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_Toc31211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35</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276651F5">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_Toc7893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szCs w:val="30"/>
              <w:highlight w:val="none"/>
            </w:rPr>
            <w:t>四、主要环境影响和保护措施</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_Toc7893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44</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0C998575">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_Toc24196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snapToGrid w:val="0"/>
              <w:color w:val="auto"/>
              <w:szCs w:val="30"/>
              <w:highlight w:val="none"/>
            </w:rPr>
            <w:t>五、环境保护措施监督检查清单</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_Toc24196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66</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1BEBC6E7">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HYPERLINK \l _Toc6108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szCs w:val="30"/>
              <w:highlight w:val="none"/>
            </w:rPr>
            <w:t>六、结论</w:t>
          </w:r>
          <w:r>
            <w:rPr>
              <w:rFonts w:hint="default" w:ascii="Times New Roman" w:hAnsi="Times New Roman" w:eastAsia="宋体" w:cs="Times New Roman"/>
              <w:color w:val="auto"/>
            </w:rPr>
            <w:tab/>
          </w:r>
          <w:r>
            <w:rPr>
              <w:rFonts w:hint="default" w:ascii="Times New Roman" w:hAnsi="Times New Roman" w:eastAsia="宋体" w:cs="Times New Roman"/>
              <w:color w:val="auto"/>
            </w:rPr>
            <w:fldChar w:fldCharType="begin"/>
          </w:r>
          <w:r>
            <w:rPr>
              <w:rFonts w:hint="default" w:ascii="Times New Roman" w:hAnsi="Times New Roman" w:eastAsia="宋体" w:cs="Times New Roman"/>
              <w:color w:val="auto"/>
            </w:rPr>
            <w:instrText xml:space="preserve"> PAGEREF _Toc6108 \h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t>70</w:t>
          </w:r>
          <w:r>
            <w:rPr>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fldChar w:fldCharType="end"/>
          </w:r>
        </w:p>
        <w:p w14:paraId="3FF2AA66">
          <w:pPr>
            <w:pStyle w:val="18"/>
            <w:tabs>
              <w:tab w:val="right" w:leader="dot" w:pos="8306"/>
            </w:tabs>
            <w:rPr>
              <w:rFonts w:hint="default" w:ascii="Times New Roman" w:hAnsi="Times New Roman" w:eastAsia="宋体" w:cs="Times New Roman"/>
              <w:color w:val="auto"/>
            </w:rPr>
          </w:pPr>
        </w:p>
        <w:p w14:paraId="14FE305F">
          <w:pPr>
            <w:rPr>
              <w:color w:val="auto"/>
            </w:rPr>
          </w:pPr>
          <w:r>
            <w:rPr>
              <w:rFonts w:hint="default" w:ascii="Times New Roman" w:hAnsi="Times New Roman" w:eastAsia="宋体" w:cs="Times New Roman"/>
              <w:color w:val="auto"/>
            </w:rPr>
            <w:fldChar w:fldCharType="end"/>
          </w:r>
        </w:p>
      </w:sdtContent>
    </w:sdt>
    <w:p w14:paraId="339145DB">
      <w:pPr>
        <w:rPr>
          <w:color w:val="auto"/>
        </w:rPr>
      </w:pPr>
    </w:p>
    <w:p w14:paraId="119F5597">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rPr>
        <w:sectPr>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8" w:name="_Toc6557"/>
      <w:bookmarkStart w:id="9" w:name="_Toc8537"/>
      <w:bookmarkStart w:id="10" w:name="_Toc17712"/>
      <w:bookmarkStart w:id="11" w:name="_Toc28770"/>
    </w:p>
    <w:p w14:paraId="2527B306">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rPr>
      </w:pPr>
      <w:r>
        <w:rPr>
          <w:rFonts w:hint="default" w:ascii="Times New Roman" w:hAnsi="Times New Roman" w:eastAsia="黑体" w:cs="Times New Roman"/>
          <w:color w:val="auto"/>
          <w:sz w:val="30"/>
          <w:szCs w:val="30"/>
        </w:rPr>
        <w:t>一、建设项目基本情况</w:t>
      </w:r>
      <w:bookmarkEnd w:id="8"/>
      <w:bookmarkEnd w:id="9"/>
      <w:bookmarkEnd w:id="10"/>
      <w:bookmarkEnd w:id="11"/>
    </w:p>
    <w:tbl>
      <w:tblPr>
        <w:tblStyle w:val="25"/>
        <w:tblW w:w="498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520"/>
        <w:gridCol w:w="596"/>
        <w:gridCol w:w="2862"/>
        <w:gridCol w:w="1913"/>
        <w:gridCol w:w="2424"/>
      </w:tblGrid>
      <w:tr w14:paraId="2650A6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670" w:type="pct"/>
            <w:gridSpan w:val="2"/>
            <w:tcMar>
              <w:top w:w="16" w:type="dxa"/>
              <w:left w:w="16" w:type="dxa"/>
              <w:right w:w="16" w:type="dxa"/>
            </w:tcMar>
            <w:vAlign w:val="center"/>
          </w:tcPr>
          <w:p w14:paraId="71CD936A">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建设项目</w:t>
            </w:r>
          </w:p>
          <w:p w14:paraId="67168850">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名称</w:t>
            </w:r>
          </w:p>
        </w:tc>
        <w:tc>
          <w:tcPr>
            <w:tcW w:w="4329" w:type="pct"/>
            <w:gridSpan w:val="3"/>
            <w:vAlign w:val="center"/>
          </w:tcPr>
          <w:p w14:paraId="69C3BBB0">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年产300万只保温容器外壳项目</w:t>
            </w:r>
          </w:p>
        </w:tc>
      </w:tr>
      <w:tr w14:paraId="550091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670" w:type="pct"/>
            <w:gridSpan w:val="2"/>
            <w:tcMar>
              <w:top w:w="16" w:type="dxa"/>
              <w:left w:w="16" w:type="dxa"/>
              <w:right w:w="16" w:type="dxa"/>
            </w:tcMar>
            <w:vAlign w:val="center"/>
          </w:tcPr>
          <w:p w14:paraId="1BF4CF9E">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项目代码</w:t>
            </w:r>
          </w:p>
        </w:tc>
        <w:tc>
          <w:tcPr>
            <w:tcW w:w="4329" w:type="pct"/>
            <w:gridSpan w:val="3"/>
            <w:vAlign w:val="center"/>
          </w:tcPr>
          <w:p w14:paraId="6A2012A9">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rPr>
              <w:t>2509-340302-04-01-408800</w:t>
            </w:r>
          </w:p>
        </w:tc>
      </w:tr>
      <w:tr w14:paraId="31E517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3" w:hRule="atLeast"/>
          <w:jc w:val="center"/>
        </w:trPr>
        <w:tc>
          <w:tcPr>
            <w:tcW w:w="670" w:type="pct"/>
            <w:gridSpan w:val="2"/>
            <w:tcMar>
              <w:top w:w="16" w:type="dxa"/>
              <w:left w:w="16" w:type="dxa"/>
              <w:right w:w="16" w:type="dxa"/>
            </w:tcMar>
            <w:vAlign w:val="center"/>
          </w:tcPr>
          <w:p w14:paraId="47A69343">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建设单位</w:t>
            </w:r>
          </w:p>
          <w:p w14:paraId="54E1E4A3">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联系人</w:t>
            </w:r>
          </w:p>
        </w:tc>
        <w:tc>
          <w:tcPr>
            <w:tcW w:w="1721" w:type="pct"/>
            <w:vAlign w:val="center"/>
          </w:tcPr>
          <w:p w14:paraId="32A7FFC3">
            <w:pPr>
              <w:adjustRightInd w:val="0"/>
              <w:snapToGrid w:val="0"/>
              <w:spacing w:line="240" w:lineRule="auto"/>
              <w:ind w:firstLine="0" w:firstLineChars="0"/>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val="en-US" w:eastAsia="zh-CN"/>
              </w:rPr>
              <w:t>罗晓东</w:t>
            </w:r>
          </w:p>
        </w:tc>
        <w:tc>
          <w:tcPr>
            <w:tcW w:w="1150" w:type="pct"/>
            <w:vAlign w:val="center"/>
          </w:tcPr>
          <w:p w14:paraId="0CEB1A21">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联系方式</w:t>
            </w:r>
          </w:p>
        </w:tc>
        <w:tc>
          <w:tcPr>
            <w:tcW w:w="1457" w:type="pct"/>
            <w:vAlign w:val="center"/>
          </w:tcPr>
          <w:p w14:paraId="71A9B1E9">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18726642222</w:t>
            </w:r>
          </w:p>
        </w:tc>
      </w:tr>
      <w:tr w14:paraId="54EC61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670" w:type="pct"/>
            <w:gridSpan w:val="2"/>
            <w:tcMar>
              <w:top w:w="16" w:type="dxa"/>
              <w:left w:w="16" w:type="dxa"/>
              <w:right w:w="16" w:type="dxa"/>
            </w:tcMar>
            <w:vAlign w:val="center"/>
          </w:tcPr>
          <w:p w14:paraId="32959FC6">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建设地点</w:t>
            </w:r>
          </w:p>
        </w:tc>
        <w:tc>
          <w:tcPr>
            <w:tcW w:w="4329" w:type="pct"/>
            <w:gridSpan w:val="3"/>
            <w:vAlign w:val="center"/>
          </w:tcPr>
          <w:p w14:paraId="45563AF2">
            <w:pPr>
              <w:adjustRightInd w:val="0"/>
              <w:snapToGrid w:val="0"/>
              <w:spacing w:line="240" w:lineRule="auto"/>
              <w:ind w:firstLine="0" w:firstLineChars="0"/>
              <w:jc w:val="center"/>
              <w:rPr>
                <w:rFonts w:hint="default" w:ascii="Times New Roman" w:hAnsi="Times New Roman" w:eastAsia="宋体" w:cs="Times New Roman"/>
                <w:color w:val="auto"/>
                <w:szCs w:val="21"/>
                <w:lang w:eastAsia="zh-CN"/>
              </w:rPr>
            </w:pPr>
            <w:r>
              <w:rPr>
                <w:rFonts w:hint="default" w:ascii="Times New Roman" w:hAnsi="Times New Roman" w:cs="Times New Roman"/>
                <w:color w:val="auto"/>
                <w:lang w:val="en-US" w:eastAsia="zh-CN"/>
              </w:rPr>
              <w:t>安徽省蚌埠市龙子湖区李楼乡胜利东路199号（厂区东片）</w:t>
            </w:r>
          </w:p>
        </w:tc>
      </w:tr>
      <w:tr w14:paraId="428519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670" w:type="pct"/>
            <w:gridSpan w:val="2"/>
            <w:tcMar>
              <w:top w:w="16" w:type="dxa"/>
              <w:left w:w="16" w:type="dxa"/>
              <w:right w:w="16" w:type="dxa"/>
            </w:tcMar>
            <w:vAlign w:val="center"/>
          </w:tcPr>
          <w:p w14:paraId="7C8B30DC">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地理坐标</w:t>
            </w:r>
          </w:p>
        </w:tc>
        <w:tc>
          <w:tcPr>
            <w:tcW w:w="4329" w:type="pct"/>
            <w:gridSpan w:val="3"/>
            <w:vAlign w:val="center"/>
          </w:tcPr>
          <w:p w14:paraId="238DC514">
            <w:pPr>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eastAsia="宋体" w:cs="Times New Roman"/>
                <w:color w:val="auto"/>
                <w:sz w:val="24"/>
                <w:szCs w:val="24"/>
                <w:lang w:val="en-US" w:eastAsia="zh-CN"/>
              </w:rPr>
              <w:t>（117度</w:t>
            </w:r>
            <w:r>
              <w:rPr>
                <w:rFonts w:hint="default" w:ascii="Times New Roman" w:hAnsi="Times New Roman" w:cs="Times New Roman"/>
                <w:color w:val="auto"/>
                <w:sz w:val="24"/>
                <w:szCs w:val="24"/>
                <w:lang w:val="en-US" w:eastAsia="zh-CN"/>
              </w:rPr>
              <w:t>28</w:t>
            </w:r>
            <w:r>
              <w:rPr>
                <w:rFonts w:hint="default" w:ascii="Times New Roman" w:hAnsi="Times New Roman" w:eastAsia="宋体" w:cs="Times New Roman"/>
                <w:color w:val="auto"/>
                <w:sz w:val="24"/>
                <w:szCs w:val="24"/>
                <w:lang w:val="en-US" w:eastAsia="zh-CN"/>
              </w:rPr>
              <w:t>分</w:t>
            </w:r>
            <w:r>
              <w:rPr>
                <w:rFonts w:hint="default" w:ascii="Times New Roman" w:hAnsi="Times New Roman" w:cs="Times New Roman"/>
                <w:color w:val="auto"/>
                <w:sz w:val="24"/>
                <w:szCs w:val="24"/>
                <w:lang w:val="en-US" w:eastAsia="zh-CN"/>
              </w:rPr>
              <w:t>14.954</w:t>
            </w:r>
            <w:r>
              <w:rPr>
                <w:rFonts w:hint="default" w:ascii="Times New Roman" w:hAnsi="Times New Roman" w:eastAsia="宋体" w:cs="Times New Roman"/>
                <w:color w:val="auto"/>
                <w:sz w:val="24"/>
                <w:szCs w:val="24"/>
                <w:lang w:val="en-US" w:eastAsia="zh-CN"/>
              </w:rPr>
              <w:t>秒，32度</w:t>
            </w:r>
            <w:r>
              <w:rPr>
                <w:rFonts w:hint="default" w:ascii="Times New Roman" w:hAnsi="Times New Roman" w:cs="Times New Roman"/>
                <w:color w:val="auto"/>
                <w:sz w:val="24"/>
                <w:szCs w:val="24"/>
                <w:lang w:val="en-US" w:eastAsia="zh-CN"/>
              </w:rPr>
              <w:t>53</w:t>
            </w:r>
            <w:r>
              <w:rPr>
                <w:rFonts w:hint="default" w:ascii="Times New Roman" w:hAnsi="Times New Roman" w:eastAsia="宋体" w:cs="Times New Roman"/>
                <w:color w:val="auto"/>
                <w:sz w:val="24"/>
                <w:szCs w:val="24"/>
                <w:lang w:val="en-US" w:eastAsia="zh-CN"/>
              </w:rPr>
              <w:t>分</w:t>
            </w:r>
            <w:r>
              <w:rPr>
                <w:rFonts w:hint="default" w:ascii="Times New Roman" w:hAnsi="Times New Roman" w:cs="Times New Roman"/>
                <w:color w:val="auto"/>
                <w:sz w:val="24"/>
                <w:szCs w:val="24"/>
                <w:lang w:val="en-US" w:eastAsia="zh-CN"/>
              </w:rPr>
              <w:t>37.316</w:t>
            </w:r>
            <w:r>
              <w:rPr>
                <w:rFonts w:hint="default" w:ascii="Times New Roman" w:hAnsi="Times New Roman" w:eastAsia="宋体" w:cs="Times New Roman"/>
                <w:color w:val="auto"/>
                <w:sz w:val="24"/>
                <w:szCs w:val="24"/>
                <w:lang w:val="en-US" w:eastAsia="zh-CN"/>
              </w:rPr>
              <w:t>秒）</w:t>
            </w:r>
          </w:p>
        </w:tc>
      </w:tr>
      <w:tr w14:paraId="432438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89" w:hRule="atLeast"/>
          <w:jc w:val="center"/>
        </w:trPr>
        <w:tc>
          <w:tcPr>
            <w:tcW w:w="670" w:type="pct"/>
            <w:gridSpan w:val="2"/>
            <w:tcMar>
              <w:top w:w="16" w:type="dxa"/>
              <w:left w:w="16" w:type="dxa"/>
              <w:right w:w="16" w:type="dxa"/>
            </w:tcMar>
            <w:vAlign w:val="center"/>
          </w:tcPr>
          <w:p w14:paraId="4D5D96F5">
            <w:pPr>
              <w:adjustRightInd w:val="0"/>
              <w:snapToGrid w:val="0"/>
              <w:spacing w:line="240" w:lineRule="auto"/>
              <w:ind w:firstLine="0" w:firstLineChars="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国民经济</w:t>
            </w:r>
          </w:p>
          <w:p w14:paraId="22CEA1BE">
            <w:pPr>
              <w:adjustRightInd w:val="0"/>
              <w:snapToGrid w:val="0"/>
              <w:spacing w:line="240" w:lineRule="auto"/>
              <w:ind w:firstLine="0" w:firstLineChars="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行业类别</w:t>
            </w:r>
          </w:p>
        </w:tc>
        <w:tc>
          <w:tcPr>
            <w:tcW w:w="1721" w:type="pct"/>
            <w:vAlign w:val="center"/>
          </w:tcPr>
          <w:p w14:paraId="7C7C9C70">
            <w:pPr>
              <w:adjustRightInd w:val="0"/>
              <w:snapToGrid w:val="0"/>
              <w:spacing w:line="240" w:lineRule="auto"/>
              <w:ind w:firstLine="0" w:firstLineChars="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lang w:val="en-US" w:eastAsia="zh-CN"/>
              </w:rPr>
              <w:t>C2927日用塑料制品制造</w:t>
            </w:r>
          </w:p>
        </w:tc>
        <w:tc>
          <w:tcPr>
            <w:tcW w:w="1150" w:type="pct"/>
            <w:vAlign w:val="center"/>
          </w:tcPr>
          <w:p w14:paraId="23983057">
            <w:pPr>
              <w:adjustRightInd w:val="0"/>
              <w:snapToGrid w:val="0"/>
              <w:spacing w:line="240" w:lineRule="auto"/>
              <w:ind w:firstLine="0" w:firstLineChars="0"/>
              <w:jc w:val="center"/>
              <w:rPr>
                <w:rFonts w:hint="default" w:ascii="Times New Roman" w:hAnsi="Times New Roman" w:eastAsia="宋体" w:cs="Times New Roman"/>
                <w:bCs/>
                <w:color w:val="auto"/>
                <w:szCs w:val="21"/>
              </w:rPr>
            </w:pPr>
            <w:bookmarkStart w:id="12" w:name="_Hlk49843745"/>
            <w:r>
              <w:rPr>
                <w:rFonts w:hint="default" w:ascii="Times New Roman" w:hAnsi="Times New Roman" w:eastAsia="宋体" w:cs="Times New Roman"/>
                <w:bCs/>
                <w:color w:val="auto"/>
                <w:szCs w:val="21"/>
              </w:rPr>
              <w:t>建设项目</w:t>
            </w:r>
          </w:p>
          <w:p w14:paraId="5E60FBDB">
            <w:pPr>
              <w:adjustRightInd w:val="0"/>
              <w:snapToGrid w:val="0"/>
              <w:spacing w:line="240" w:lineRule="auto"/>
              <w:ind w:firstLine="0" w:firstLineChars="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行业类别</w:t>
            </w:r>
            <w:bookmarkEnd w:id="12"/>
          </w:p>
        </w:tc>
        <w:tc>
          <w:tcPr>
            <w:tcW w:w="1457" w:type="pct"/>
            <w:vAlign w:val="center"/>
          </w:tcPr>
          <w:p w14:paraId="785FC07F">
            <w:pPr>
              <w:adjustRightInd w:val="0"/>
              <w:snapToGrid w:val="0"/>
              <w:spacing w:line="240" w:lineRule="auto"/>
              <w:ind w:firstLine="0" w:firstLineChars="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二十六、橡胶和塑料制品业29 53.塑料制品业292</w:t>
            </w:r>
          </w:p>
        </w:tc>
      </w:tr>
      <w:tr w14:paraId="3BF5B0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0" w:type="pct"/>
            <w:gridSpan w:val="2"/>
            <w:tcMar>
              <w:top w:w="16" w:type="dxa"/>
              <w:left w:w="16" w:type="dxa"/>
              <w:right w:w="16" w:type="dxa"/>
            </w:tcMar>
            <w:vAlign w:val="center"/>
          </w:tcPr>
          <w:p w14:paraId="3F9608EC">
            <w:pPr>
              <w:adjustRightInd w:val="0"/>
              <w:snapToGrid w:val="0"/>
              <w:spacing w:line="240" w:lineRule="auto"/>
              <w:ind w:firstLine="0" w:firstLineChars="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建设性质</w:t>
            </w:r>
          </w:p>
        </w:tc>
        <w:tc>
          <w:tcPr>
            <w:tcW w:w="1721" w:type="pct"/>
            <w:vAlign w:val="center"/>
          </w:tcPr>
          <w:p w14:paraId="412663AF">
            <w:pPr>
              <w:adjustRightInd w:val="0"/>
              <w:snapToGrid w:val="0"/>
              <w:spacing w:line="240" w:lineRule="auto"/>
              <w:ind w:firstLine="0" w:firstLineChars="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52"/>
            </w:r>
            <w:r>
              <w:rPr>
                <w:rFonts w:hint="default" w:ascii="Times New Roman" w:hAnsi="Times New Roman" w:eastAsia="宋体" w:cs="Times New Roman"/>
                <w:color w:val="auto"/>
                <w:sz w:val="24"/>
              </w:rPr>
              <w:t>新建（迁建）</w:t>
            </w:r>
          </w:p>
          <w:p w14:paraId="4EDFA682">
            <w:pPr>
              <w:adjustRightInd w:val="0"/>
              <w:snapToGrid w:val="0"/>
              <w:spacing w:line="240" w:lineRule="auto"/>
              <w:ind w:firstLine="0" w:firstLineChars="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改建</w:t>
            </w:r>
          </w:p>
          <w:p w14:paraId="20895370">
            <w:pPr>
              <w:adjustRightInd w:val="0"/>
              <w:snapToGrid w:val="0"/>
              <w:spacing w:line="240" w:lineRule="auto"/>
              <w:ind w:firstLine="0" w:firstLineChars="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扩建</w:t>
            </w:r>
          </w:p>
          <w:p w14:paraId="64E9D53A">
            <w:pPr>
              <w:adjustRightInd w:val="0"/>
              <w:snapToGrid w:val="0"/>
              <w:spacing w:line="240" w:lineRule="auto"/>
              <w:ind w:firstLine="0" w:firstLineChars="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技术改造</w:t>
            </w:r>
          </w:p>
        </w:tc>
        <w:tc>
          <w:tcPr>
            <w:tcW w:w="1150" w:type="pct"/>
            <w:vAlign w:val="center"/>
          </w:tcPr>
          <w:p w14:paraId="45045086">
            <w:pPr>
              <w:adjustRightInd w:val="0"/>
              <w:snapToGrid w:val="0"/>
              <w:spacing w:line="240" w:lineRule="auto"/>
              <w:ind w:firstLine="0" w:firstLineChars="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建设项目</w:t>
            </w:r>
          </w:p>
          <w:p w14:paraId="3E21E63E">
            <w:pPr>
              <w:adjustRightInd w:val="0"/>
              <w:snapToGrid w:val="0"/>
              <w:spacing w:line="240" w:lineRule="auto"/>
              <w:ind w:firstLine="0" w:firstLineChars="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申报情形</w:t>
            </w:r>
          </w:p>
        </w:tc>
        <w:tc>
          <w:tcPr>
            <w:tcW w:w="1457" w:type="pct"/>
            <w:vAlign w:val="center"/>
          </w:tcPr>
          <w:p w14:paraId="2B8CEB5D">
            <w:pPr>
              <w:adjustRightInd w:val="0"/>
              <w:snapToGrid w:val="0"/>
              <w:spacing w:line="240" w:lineRule="auto"/>
              <w:ind w:firstLine="0" w:firstLineChars="0"/>
              <w:jc w:val="both"/>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sym w:font="Wingdings 2" w:char="0052"/>
            </w:r>
            <w:r>
              <w:rPr>
                <w:rFonts w:hint="default" w:ascii="Times New Roman" w:hAnsi="Times New Roman" w:eastAsia="宋体" w:cs="Times New Roman"/>
                <w:color w:val="auto"/>
                <w:sz w:val="24"/>
              </w:rPr>
              <w:t>首次申报项目</w:t>
            </w:r>
          </w:p>
          <w:p w14:paraId="0E87605F">
            <w:pPr>
              <w:adjustRightInd w:val="0"/>
              <w:snapToGrid w:val="0"/>
              <w:spacing w:line="240" w:lineRule="auto"/>
              <w:ind w:firstLine="0" w:firstLineChars="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不予批准后再次申报项目</w:t>
            </w:r>
          </w:p>
          <w:p w14:paraId="71445312">
            <w:pPr>
              <w:adjustRightInd w:val="0"/>
              <w:snapToGrid w:val="0"/>
              <w:spacing w:line="240" w:lineRule="auto"/>
              <w:ind w:firstLine="0" w:firstLineChars="0"/>
              <w:jc w:val="both"/>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超五年重新审核项目</w:t>
            </w:r>
          </w:p>
          <w:p w14:paraId="7695CFD4">
            <w:pPr>
              <w:adjustRightInd w:val="0"/>
              <w:snapToGrid w:val="0"/>
              <w:spacing w:line="240" w:lineRule="auto"/>
              <w:ind w:firstLine="0" w:firstLineChars="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sym w:font="Wingdings 2" w:char="00A3"/>
            </w:r>
            <w:r>
              <w:rPr>
                <w:rFonts w:hint="default" w:ascii="Times New Roman" w:hAnsi="Times New Roman" w:eastAsia="宋体" w:cs="Times New Roman"/>
                <w:color w:val="auto"/>
                <w:sz w:val="24"/>
              </w:rPr>
              <w:t>重大变动重新报批项目</w:t>
            </w:r>
          </w:p>
        </w:tc>
      </w:tr>
      <w:tr w14:paraId="6D0FB9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45" w:hRule="atLeast"/>
          <w:jc w:val="center"/>
        </w:trPr>
        <w:tc>
          <w:tcPr>
            <w:tcW w:w="670" w:type="pct"/>
            <w:gridSpan w:val="2"/>
            <w:tcMar>
              <w:top w:w="16" w:type="dxa"/>
              <w:left w:w="16" w:type="dxa"/>
              <w:right w:w="16" w:type="dxa"/>
            </w:tcMar>
            <w:vAlign w:val="center"/>
          </w:tcPr>
          <w:p w14:paraId="1D28C453">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项目审批（核准/</w:t>
            </w:r>
          </w:p>
          <w:p w14:paraId="3D65CB22">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备案）部门（选填）</w:t>
            </w:r>
          </w:p>
        </w:tc>
        <w:tc>
          <w:tcPr>
            <w:tcW w:w="1721" w:type="pct"/>
            <w:vAlign w:val="center"/>
          </w:tcPr>
          <w:p w14:paraId="3E454F1E">
            <w:pPr>
              <w:adjustRightInd w:val="0"/>
              <w:snapToGrid w:val="0"/>
              <w:spacing w:line="240" w:lineRule="auto"/>
              <w:ind w:firstLine="0" w:firstLineChars="0"/>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 w:val="24"/>
                <w:szCs w:val="24"/>
                <w:lang w:val="en-US" w:eastAsia="zh-CN"/>
              </w:rPr>
              <w:t>龙子湖区</w:t>
            </w:r>
            <w:r>
              <w:rPr>
                <w:rFonts w:hint="default" w:ascii="Times New Roman" w:hAnsi="Times New Roman" w:cs="Times New Roman"/>
                <w:color w:val="auto"/>
                <w:sz w:val="24"/>
                <w:szCs w:val="24"/>
                <w:lang w:val="en-US" w:eastAsia="zh-CN"/>
              </w:rPr>
              <w:t>发展和改革委员会</w:t>
            </w:r>
          </w:p>
        </w:tc>
        <w:tc>
          <w:tcPr>
            <w:tcW w:w="1150" w:type="pct"/>
            <w:vAlign w:val="center"/>
          </w:tcPr>
          <w:p w14:paraId="721B6788">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项目审批（核准/备案）文号（选填）</w:t>
            </w:r>
          </w:p>
        </w:tc>
        <w:tc>
          <w:tcPr>
            <w:tcW w:w="1457" w:type="pct"/>
            <w:vAlign w:val="center"/>
          </w:tcPr>
          <w:p w14:paraId="48025FA5">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 w:val="24"/>
                <w:szCs w:val="24"/>
                <w:lang w:val="en-US" w:eastAsia="zh-CN"/>
              </w:rPr>
              <w:t>/</w:t>
            </w:r>
          </w:p>
        </w:tc>
      </w:tr>
      <w:tr w14:paraId="34FD78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3" w:hRule="atLeast"/>
          <w:jc w:val="center"/>
        </w:trPr>
        <w:tc>
          <w:tcPr>
            <w:tcW w:w="670" w:type="pct"/>
            <w:gridSpan w:val="2"/>
            <w:tcMar>
              <w:top w:w="16" w:type="dxa"/>
              <w:left w:w="16" w:type="dxa"/>
              <w:right w:w="16" w:type="dxa"/>
            </w:tcMar>
            <w:vAlign w:val="center"/>
          </w:tcPr>
          <w:p w14:paraId="4F1F82DC">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总投资</w:t>
            </w:r>
          </w:p>
          <w:p w14:paraId="289161C7">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（万元）</w:t>
            </w:r>
          </w:p>
        </w:tc>
        <w:tc>
          <w:tcPr>
            <w:tcW w:w="1721" w:type="pct"/>
            <w:vAlign w:val="center"/>
          </w:tcPr>
          <w:p w14:paraId="5E674B57">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540</w:t>
            </w:r>
          </w:p>
        </w:tc>
        <w:tc>
          <w:tcPr>
            <w:tcW w:w="1150" w:type="pct"/>
            <w:tcMar>
              <w:top w:w="16" w:type="dxa"/>
              <w:left w:w="16" w:type="dxa"/>
              <w:right w:w="16" w:type="dxa"/>
            </w:tcMar>
            <w:vAlign w:val="center"/>
          </w:tcPr>
          <w:p w14:paraId="739B71EB">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环保投资（万元）</w:t>
            </w:r>
          </w:p>
        </w:tc>
        <w:tc>
          <w:tcPr>
            <w:tcW w:w="1457" w:type="pct"/>
            <w:vAlign w:val="center"/>
          </w:tcPr>
          <w:p w14:paraId="31AA3E6D">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20</w:t>
            </w:r>
          </w:p>
        </w:tc>
      </w:tr>
      <w:tr w14:paraId="029476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3" w:hRule="atLeast"/>
          <w:jc w:val="center"/>
        </w:trPr>
        <w:tc>
          <w:tcPr>
            <w:tcW w:w="670" w:type="pct"/>
            <w:gridSpan w:val="2"/>
            <w:tcMar>
              <w:top w:w="16" w:type="dxa"/>
              <w:left w:w="16" w:type="dxa"/>
              <w:right w:w="16" w:type="dxa"/>
            </w:tcMar>
            <w:vAlign w:val="center"/>
          </w:tcPr>
          <w:p w14:paraId="758A4CEC">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环保投资</w:t>
            </w:r>
          </w:p>
          <w:p w14:paraId="5BBD44AE">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占比（%）</w:t>
            </w:r>
          </w:p>
        </w:tc>
        <w:tc>
          <w:tcPr>
            <w:tcW w:w="1721" w:type="pct"/>
            <w:vAlign w:val="center"/>
          </w:tcPr>
          <w:p w14:paraId="204FF56B">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3.7</w:t>
            </w:r>
          </w:p>
        </w:tc>
        <w:tc>
          <w:tcPr>
            <w:tcW w:w="1150" w:type="pct"/>
            <w:tcMar>
              <w:top w:w="16" w:type="dxa"/>
              <w:left w:w="16" w:type="dxa"/>
              <w:right w:w="16" w:type="dxa"/>
            </w:tcMar>
            <w:vAlign w:val="center"/>
          </w:tcPr>
          <w:p w14:paraId="6E77F149">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施工工期</w:t>
            </w:r>
          </w:p>
        </w:tc>
        <w:tc>
          <w:tcPr>
            <w:tcW w:w="1457" w:type="pct"/>
            <w:vAlign w:val="center"/>
          </w:tcPr>
          <w:p w14:paraId="06F09C8C">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个月</w:t>
            </w:r>
          </w:p>
        </w:tc>
      </w:tr>
      <w:tr w14:paraId="581803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3" w:hRule="atLeast"/>
          <w:jc w:val="center"/>
        </w:trPr>
        <w:tc>
          <w:tcPr>
            <w:tcW w:w="670" w:type="pct"/>
            <w:gridSpan w:val="2"/>
            <w:tcMar>
              <w:top w:w="16" w:type="dxa"/>
              <w:left w:w="16" w:type="dxa"/>
              <w:right w:w="16" w:type="dxa"/>
            </w:tcMar>
            <w:vAlign w:val="center"/>
          </w:tcPr>
          <w:p w14:paraId="3CE889E1">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是否开工</w:t>
            </w:r>
          </w:p>
          <w:p w14:paraId="42FA8901">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zCs w:val="21"/>
              </w:rPr>
              <w:t>建设</w:t>
            </w:r>
          </w:p>
        </w:tc>
        <w:tc>
          <w:tcPr>
            <w:tcW w:w="1721" w:type="pct"/>
            <w:vAlign w:val="center"/>
          </w:tcPr>
          <w:p w14:paraId="745808EA">
            <w:pPr>
              <w:adjustRightInd w:val="0"/>
              <w:snapToGrid w:val="0"/>
              <w:spacing w:line="240" w:lineRule="auto"/>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sym w:font="Wingdings 2" w:char="00A3"/>
            </w:r>
            <w:r>
              <w:rPr>
                <w:rFonts w:hint="default" w:ascii="Times New Roman" w:hAnsi="Times New Roman" w:cs="Times New Roman"/>
                <w:color w:val="auto"/>
                <w:szCs w:val="21"/>
              </w:rPr>
              <w:t>否</w:t>
            </w:r>
          </w:p>
          <w:p w14:paraId="712D87B3">
            <w:pPr>
              <w:adjustRightInd w:val="0"/>
              <w:snapToGrid w:val="0"/>
              <w:spacing w:line="240" w:lineRule="auto"/>
              <w:ind w:firstLine="0" w:firstLineChars="0"/>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sym w:font="Wingdings 2" w:char="0052"/>
            </w:r>
            <w:r>
              <w:rPr>
                <w:rFonts w:hint="default" w:ascii="Times New Roman" w:hAnsi="Times New Roman" w:cs="Times New Roman"/>
                <w:color w:val="auto"/>
                <w:szCs w:val="21"/>
              </w:rPr>
              <w:t>是</w:t>
            </w:r>
            <w:r>
              <w:rPr>
                <w:rFonts w:hint="eastAsia" w:cs="Times New Roman"/>
                <w:color w:val="auto"/>
                <w:szCs w:val="21"/>
                <w:lang w:eastAsia="zh-CN"/>
              </w:rPr>
              <w:t>：设备已进场</w:t>
            </w:r>
          </w:p>
        </w:tc>
        <w:tc>
          <w:tcPr>
            <w:tcW w:w="1150" w:type="pct"/>
            <w:tcMar>
              <w:top w:w="16" w:type="dxa"/>
              <w:left w:w="16" w:type="dxa"/>
              <w:right w:w="16" w:type="dxa"/>
            </w:tcMar>
            <w:vAlign w:val="center"/>
          </w:tcPr>
          <w:p w14:paraId="617D749B">
            <w:pPr>
              <w:adjustRightInd w:val="0"/>
              <w:snapToGrid w:val="0"/>
              <w:spacing w:line="240" w:lineRule="auto"/>
              <w:ind w:firstLine="0" w:firstLineChars="0"/>
              <w:jc w:val="center"/>
              <w:rPr>
                <w:rFonts w:hint="default" w:ascii="Times New Roman" w:hAnsi="Times New Roman" w:cs="Times New Roman"/>
                <w:color w:val="auto"/>
                <w:spacing w:val="-6"/>
                <w:szCs w:val="21"/>
              </w:rPr>
            </w:pPr>
            <w:r>
              <w:rPr>
                <w:rFonts w:hint="default" w:ascii="Times New Roman" w:hAnsi="Times New Roman" w:cs="Times New Roman"/>
                <w:color w:val="auto"/>
                <w:spacing w:val="-6"/>
                <w:szCs w:val="21"/>
              </w:rPr>
              <w:t>用地（用海）</w:t>
            </w:r>
          </w:p>
          <w:p w14:paraId="6088A29B">
            <w:pPr>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spacing w:val="-6"/>
                <w:szCs w:val="21"/>
              </w:rPr>
              <w:t>面积（m</w:t>
            </w:r>
            <w:r>
              <w:rPr>
                <w:rFonts w:hint="default" w:ascii="Times New Roman" w:hAnsi="Times New Roman" w:cs="Times New Roman"/>
                <w:color w:val="auto"/>
                <w:spacing w:val="-6"/>
                <w:szCs w:val="21"/>
                <w:vertAlign w:val="superscript"/>
              </w:rPr>
              <w:t>2</w:t>
            </w:r>
            <w:r>
              <w:rPr>
                <w:rFonts w:hint="default" w:ascii="Times New Roman" w:hAnsi="Times New Roman" w:cs="Times New Roman"/>
                <w:color w:val="auto"/>
                <w:spacing w:val="-6"/>
                <w:szCs w:val="21"/>
              </w:rPr>
              <w:t>）</w:t>
            </w:r>
          </w:p>
        </w:tc>
        <w:tc>
          <w:tcPr>
            <w:tcW w:w="1457" w:type="pct"/>
            <w:vAlign w:val="center"/>
          </w:tcPr>
          <w:p w14:paraId="4F6602F3">
            <w:pPr>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6000</w:t>
            </w:r>
          </w:p>
        </w:tc>
      </w:tr>
      <w:tr w14:paraId="3553AD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70" w:type="pct"/>
            <w:gridSpan w:val="2"/>
            <w:vAlign w:val="center"/>
          </w:tcPr>
          <w:p w14:paraId="29F9DA1B">
            <w:pPr>
              <w:autoSpaceDE w:val="0"/>
              <w:autoSpaceDN w:val="0"/>
              <w:adjustRightInd w:val="0"/>
              <w:snapToGrid w:val="0"/>
              <w:spacing w:line="240" w:lineRule="auto"/>
              <w:ind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专项评价设置情况</w:t>
            </w:r>
          </w:p>
        </w:tc>
        <w:tc>
          <w:tcPr>
            <w:tcW w:w="4329" w:type="pct"/>
            <w:gridSpan w:val="3"/>
            <w:vAlign w:val="center"/>
          </w:tcPr>
          <w:p w14:paraId="2036972E">
            <w:pPr>
              <w:autoSpaceDE w:val="0"/>
              <w:autoSpaceDN w:val="0"/>
              <w:spacing w:line="360" w:lineRule="auto"/>
              <w:ind w:firstLine="480" w:firstLineChars="200"/>
              <w:contextualSpacing/>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本项目专项评价设置情况如下表所示。</w:t>
            </w:r>
          </w:p>
          <w:p w14:paraId="3BD5E551">
            <w:pPr>
              <w:autoSpaceDE w:val="0"/>
              <w:autoSpaceDN w:val="0"/>
              <w:spacing w:line="240" w:lineRule="auto"/>
              <w:ind w:firstLine="0" w:firstLineChars="0"/>
              <w:contextualSpacing/>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rPr>
              <w:t>表1-1  专项评价设置原则表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4229"/>
              <w:gridCol w:w="1650"/>
            </w:tblGrid>
            <w:tr w14:paraId="665E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noWrap w:val="0"/>
                  <w:vAlign w:val="center"/>
                </w:tcPr>
                <w:p w14:paraId="6324C135">
                  <w:pPr>
                    <w:spacing w:line="240" w:lineRule="auto"/>
                    <w:ind w:firstLine="0" w:firstLineChars="0"/>
                    <w:contextualSpacing/>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专项评价的类别</w:t>
                  </w:r>
                </w:p>
              </w:tc>
              <w:tc>
                <w:tcPr>
                  <w:tcW w:w="3032" w:type="pct"/>
                  <w:noWrap w:val="0"/>
                  <w:vAlign w:val="center"/>
                </w:tcPr>
                <w:p w14:paraId="37E96606">
                  <w:pPr>
                    <w:spacing w:line="240" w:lineRule="auto"/>
                    <w:ind w:firstLine="0" w:firstLineChars="0"/>
                    <w:contextualSpacing/>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设置原则</w:t>
                  </w:r>
                </w:p>
              </w:tc>
              <w:tc>
                <w:tcPr>
                  <w:tcW w:w="1183" w:type="pct"/>
                  <w:noWrap w:val="0"/>
                  <w:vAlign w:val="center"/>
                </w:tcPr>
                <w:p w14:paraId="411893C7">
                  <w:pPr>
                    <w:spacing w:line="240" w:lineRule="auto"/>
                    <w:ind w:firstLine="0" w:firstLineChars="0"/>
                    <w:contextualSpacing/>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本项目</w:t>
                  </w:r>
                </w:p>
              </w:tc>
            </w:tr>
            <w:tr w14:paraId="3619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noWrap w:val="0"/>
                  <w:vAlign w:val="center"/>
                </w:tcPr>
                <w:p w14:paraId="15C1E789">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w:t>
                  </w:r>
                </w:p>
              </w:tc>
              <w:tc>
                <w:tcPr>
                  <w:tcW w:w="3032" w:type="pct"/>
                  <w:noWrap w:val="0"/>
                  <w:vAlign w:val="center"/>
                </w:tcPr>
                <w:p w14:paraId="3C022A14">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排放废气含有毒有害污染物</w:t>
                  </w:r>
                  <w:r>
                    <w:rPr>
                      <w:rFonts w:hint="default" w:ascii="Times New Roman" w:hAnsi="Times New Roman" w:eastAsia="宋体" w:cs="Times New Roman"/>
                      <w:color w:val="auto"/>
                      <w:sz w:val="21"/>
                      <w:szCs w:val="21"/>
                      <w:vertAlign w:val="superscript"/>
                    </w:rPr>
                    <w:t>1</w:t>
                  </w:r>
                  <w:r>
                    <w:rPr>
                      <w:rFonts w:hint="default" w:ascii="Times New Roman" w:hAnsi="Times New Roman" w:eastAsia="宋体" w:cs="Times New Roman"/>
                      <w:color w:val="auto"/>
                      <w:sz w:val="21"/>
                      <w:szCs w:val="21"/>
                    </w:rPr>
                    <w:t>、二噁英、苯并[a]芘、氰化物、氯气且厂界外500米范围内有环境空气保护目</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rPr>
                    <w:t>标的建设项目。</w:t>
                  </w:r>
                </w:p>
              </w:tc>
              <w:tc>
                <w:tcPr>
                  <w:tcW w:w="1183" w:type="pct"/>
                  <w:noWrap w:val="0"/>
                  <w:vAlign w:val="center"/>
                </w:tcPr>
                <w:p w14:paraId="56151D5F">
                  <w:pPr>
                    <w:spacing w:line="240" w:lineRule="auto"/>
                    <w:ind w:firstLine="0" w:firstLineChars="0"/>
                    <w:contextualSpacing/>
                    <w:jc w:val="center"/>
                    <w:rPr>
                      <w:rFonts w:hint="default" w:ascii="Times New Roman" w:hAnsi="Times New Roman" w:eastAsia="宋体" w:cs="Times New Roman"/>
                      <w:color w:val="auto"/>
                      <w:sz w:val="21"/>
                      <w:szCs w:val="21"/>
                      <w:highlight w:val="yellow"/>
                      <w:lang w:eastAsia="zh-CN"/>
                    </w:rPr>
                  </w:pPr>
                  <w:r>
                    <w:rPr>
                      <w:rFonts w:hint="default" w:ascii="Times New Roman" w:hAnsi="Times New Roman" w:eastAsia="宋体" w:cs="Times New Roman"/>
                      <w:color w:val="auto"/>
                      <w:sz w:val="21"/>
                      <w:szCs w:val="21"/>
                    </w:rPr>
                    <w:t>本项目</w:t>
                  </w:r>
                  <w:r>
                    <w:rPr>
                      <w:rFonts w:hint="default" w:ascii="Times New Roman" w:hAnsi="Times New Roman" w:eastAsia="宋体" w:cs="Times New Roman"/>
                      <w:color w:val="auto"/>
                      <w:sz w:val="21"/>
                      <w:szCs w:val="21"/>
                      <w:lang w:eastAsia="zh-CN"/>
                    </w:rPr>
                    <w:t>不涉及</w:t>
                  </w:r>
                </w:p>
              </w:tc>
            </w:tr>
            <w:tr w14:paraId="06D6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4" w:type="pct"/>
                  <w:noWrap w:val="0"/>
                  <w:vAlign w:val="center"/>
                </w:tcPr>
                <w:p w14:paraId="6C2DA2C7">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地表水</w:t>
                  </w:r>
                </w:p>
              </w:tc>
              <w:tc>
                <w:tcPr>
                  <w:tcW w:w="3032" w:type="pct"/>
                  <w:noWrap w:val="0"/>
                  <w:vAlign w:val="center"/>
                </w:tcPr>
                <w:p w14:paraId="610D3EAD">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新增工业废水直排建设项目（槽罐车外送污水处理厂的除外）；新增废水直排的污水集中处理厂。</w:t>
                  </w:r>
                </w:p>
              </w:tc>
              <w:tc>
                <w:tcPr>
                  <w:tcW w:w="1183" w:type="pct"/>
                  <w:noWrap w:val="0"/>
                  <w:vAlign w:val="center"/>
                </w:tcPr>
                <w:p w14:paraId="27C20938">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lang w:eastAsia="zh-CN"/>
                    </w:rPr>
                    <w:t>本项目不涉及</w:t>
                  </w:r>
                </w:p>
              </w:tc>
            </w:tr>
            <w:tr w14:paraId="4B91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noWrap w:val="0"/>
                  <w:vAlign w:val="center"/>
                </w:tcPr>
                <w:p w14:paraId="343F2A37">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环境风险</w:t>
                  </w:r>
                </w:p>
              </w:tc>
              <w:tc>
                <w:tcPr>
                  <w:tcW w:w="3032" w:type="pct"/>
                  <w:noWrap w:val="0"/>
                  <w:vAlign w:val="center"/>
                </w:tcPr>
                <w:p w14:paraId="52589D2C">
                  <w:pPr>
                    <w:spacing w:line="240" w:lineRule="auto"/>
                    <w:ind w:firstLine="0" w:firstLineChars="0"/>
                    <w:contextualSpacing/>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有毒有害和易燃易爆危险物质存储量超过临界量</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的建设项目。</w:t>
                  </w:r>
                </w:p>
              </w:tc>
              <w:tc>
                <w:tcPr>
                  <w:tcW w:w="1183" w:type="pct"/>
                  <w:noWrap w:val="0"/>
                  <w:vAlign w:val="center"/>
                </w:tcPr>
                <w:p w14:paraId="1478338F">
                  <w:pPr>
                    <w:spacing w:line="240" w:lineRule="auto"/>
                    <w:ind w:firstLine="0" w:firstLineChars="0"/>
                    <w:contextualSpacing/>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本项目不涉及</w:t>
                  </w:r>
                </w:p>
              </w:tc>
            </w:tr>
            <w:tr w14:paraId="6976D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noWrap w:val="0"/>
                  <w:vAlign w:val="center"/>
                </w:tcPr>
                <w:p w14:paraId="053B9A8A">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生态</w:t>
                  </w:r>
                </w:p>
              </w:tc>
              <w:tc>
                <w:tcPr>
                  <w:tcW w:w="3032" w:type="pct"/>
                  <w:noWrap w:val="0"/>
                  <w:vAlign w:val="center"/>
                </w:tcPr>
                <w:p w14:paraId="7B54D93B">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取水口下游500米范围内有重要水生生物的自然产卵场、索饵场、越冬场和洄游通道的新增河道取水的污染类建设项目。</w:t>
                  </w:r>
                </w:p>
              </w:tc>
              <w:tc>
                <w:tcPr>
                  <w:tcW w:w="1183" w:type="pct"/>
                  <w:noWrap w:val="0"/>
                  <w:vAlign w:val="center"/>
                </w:tcPr>
                <w:p w14:paraId="7FE4E0DD">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color w:val="auto"/>
                      <w:sz w:val="21"/>
                      <w:szCs w:val="21"/>
                      <w:lang w:eastAsia="zh-CN"/>
                    </w:rPr>
                    <w:t>本项目</w:t>
                  </w:r>
                  <w:r>
                    <w:rPr>
                      <w:rFonts w:hint="default" w:ascii="Times New Roman" w:hAnsi="Times New Roman" w:cs="Times New Roman"/>
                      <w:i w:val="0"/>
                      <w:iCs w:val="0"/>
                      <w:color w:val="auto"/>
                      <w:kern w:val="0"/>
                      <w:sz w:val="21"/>
                      <w:szCs w:val="26"/>
                      <w:highlight w:val="none"/>
                      <w:u w:val="none"/>
                      <w:lang w:val="en-US" w:eastAsia="zh-CN" w:bidi="ar"/>
                    </w:rPr>
                    <w:t>不涉及</w:t>
                  </w:r>
                </w:p>
              </w:tc>
            </w:tr>
            <w:tr w14:paraId="2CAB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noWrap w:val="0"/>
                  <w:vAlign w:val="center"/>
                </w:tcPr>
                <w:p w14:paraId="527A3E18">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海洋</w:t>
                  </w:r>
                </w:p>
              </w:tc>
              <w:tc>
                <w:tcPr>
                  <w:tcW w:w="3032" w:type="pct"/>
                  <w:noWrap w:val="0"/>
                  <w:vAlign w:val="center"/>
                </w:tcPr>
                <w:p w14:paraId="6BAFDC9D">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直接向海排放污染物的海洋工程建设项目。</w:t>
                  </w:r>
                </w:p>
              </w:tc>
              <w:tc>
                <w:tcPr>
                  <w:tcW w:w="1183" w:type="pct"/>
                  <w:noWrap w:val="0"/>
                  <w:vAlign w:val="center"/>
                </w:tcPr>
                <w:p w14:paraId="6C1FBC6F">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color w:val="auto"/>
                      <w:sz w:val="21"/>
                      <w:szCs w:val="21"/>
                      <w:lang w:eastAsia="zh-CN"/>
                    </w:rPr>
                    <w:t>本项目</w:t>
                  </w:r>
                  <w:r>
                    <w:rPr>
                      <w:rFonts w:hint="default" w:ascii="Times New Roman" w:hAnsi="Times New Roman" w:cs="Times New Roman"/>
                      <w:i w:val="0"/>
                      <w:iCs w:val="0"/>
                      <w:color w:val="auto"/>
                      <w:kern w:val="0"/>
                      <w:sz w:val="21"/>
                      <w:szCs w:val="26"/>
                      <w:highlight w:val="none"/>
                      <w:u w:val="none"/>
                      <w:lang w:val="en-US" w:eastAsia="zh-CN" w:bidi="ar"/>
                    </w:rPr>
                    <w:t>不涉及</w:t>
                  </w:r>
                </w:p>
              </w:tc>
            </w:tr>
            <w:tr w14:paraId="4395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noWrap w:val="0"/>
                  <w:vAlign w:val="center"/>
                </w:tcPr>
                <w:p w14:paraId="1279D74F">
                  <w:pPr>
                    <w:spacing w:line="240" w:lineRule="auto"/>
                    <w:ind w:firstLine="0" w:firstLineChars="0"/>
                    <w:contextualSpacing/>
                    <w:jc w:val="left"/>
                    <w:rPr>
                      <w:rFonts w:hint="default" w:ascii="Times New Roman" w:hAnsi="Times New Roman" w:eastAsia="宋体" w:cs="Times New Roman"/>
                      <w:color w:val="auto"/>
                      <w:sz w:val="20"/>
                      <w:szCs w:val="20"/>
                    </w:rPr>
                  </w:pPr>
                  <w:r>
                    <w:rPr>
                      <w:rFonts w:hint="default" w:ascii="Times New Roman" w:hAnsi="Times New Roman" w:eastAsia="宋体" w:cs="Times New Roman"/>
                      <w:b/>
                      <w:bCs/>
                      <w:color w:val="auto"/>
                      <w:sz w:val="20"/>
                      <w:szCs w:val="20"/>
                    </w:rPr>
                    <w:t>注：</w:t>
                  </w:r>
                  <w:r>
                    <w:rPr>
                      <w:rFonts w:hint="default" w:ascii="Times New Roman" w:hAnsi="Times New Roman" w:eastAsia="宋体" w:cs="Times New Roman"/>
                      <w:color w:val="auto"/>
                      <w:sz w:val="20"/>
                      <w:szCs w:val="20"/>
                    </w:rPr>
                    <w:t>1.废气中有毒有害污染物指纳入《有毒有害大气污染物名录》的污染物（不包括无排放标准的污染物）。</w:t>
                  </w:r>
                </w:p>
                <w:p w14:paraId="2D5D3188">
                  <w:pPr>
                    <w:spacing w:line="240" w:lineRule="auto"/>
                    <w:ind w:firstLine="0" w:firstLineChars="0"/>
                    <w:contextualSpacing/>
                    <w:jc w:val="left"/>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2.环境空气保护目标指自然保护区、风景名胜区、居住区、文化区和农村地区中人群较集中的区域。</w:t>
                  </w:r>
                </w:p>
                <w:p w14:paraId="7303BCA3">
                  <w:pPr>
                    <w:spacing w:line="240" w:lineRule="auto"/>
                    <w:ind w:firstLine="0" w:firstLineChars="0"/>
                    <w:contextualSpacing/>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0"/>
                      <w:szCs w:val="20"/>
                    </w:rPr>
                    <w:t>3.临界量及其计算方法可参考《建设项目环境风险评价技术导则》（HJ169）附录B、附录C。</w:t>
                  </w:r>
                </w:p>
              </w:tc>
            </w:tr>
          </w:tbl>
          <w:p w14:paraId="6DC21561">
            <w:pPr>
              <w:spacing w:line="360" w:lineRule="auto"/>
              <w:ind w:firstLine="480" w:firstLineChars="200"/>
              <w:rPr>
                <w:rFonts w:hint="default" w:ascii="Times New Roman" w:hAnsi="Times New Roman" w:cs="Times New Roman"/>
                <w:color w:val="auto"/>
                <w:kern w:val="0"/>
                <w:szCs w:val="21"/>
              </w:rPr>
            </w:pPr>
            <w:r>
              <w:rPr>
                <w:rFonts w:hint="default" w:ascii="Times New Roman" w:hAnsi="Times New Roman" w:eastAsia="宋体" w:cs="Times New Roman"/>
                <w:b w:val="0"/>
                <w:bCs w:val="0"/>
                <w:color w:val="auto"/>
                <w:sz w:val="24"/>
                <w:lang w:val="en-US" w:eastAsia="zh-CN"/>
              </w:rPr>
              <w:t>综上所述，本项目无需设置专项评价。</w:t>
            </w:r>
          </w:p>
        </w:tc>
      </w:tr>
      <w:tr w14:paraId="6BF51B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70" w:type="pct"/>
            <w:gridSpan w:val="2"/>
            <w:vAlign w:val="center"/>
          </w:tcPr>
          <w:p w14:paraId="30BBB20E">
            <w:pPr>
              <w:autoSpaceDE w:val="0"/>
              <w:autoSpaceDN w:val="0"/>
              <w:adjustRightInd w:val="0"/>
              <w:snapToGrid w:val="0"/>
              <w:spacing w:line="240" w:lineRule="auto"/>
              <w:ind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规划情况</w:t>
            </w:r>
          </w:p>
        </w:tc>
        <w:tc>
          <w:tcPr>
            <w:tcW w:w="4329" w:type="pct"/>
            <w:gridSpan w:val="3"/>
            <w:vAlign w:val="center"/>
          </w:tcPr>
          <w:p w14:paraId="172E3B43">
            <w:pPr>
              <w:spacing w:line="440" w:lineRule="exact"/>
              <w:ind w:left="0" w:leftChars="0" w:firstLine="0" w:firstLineChars="0"/>
              <w:rPr>
                <w:rFonts w:hint="default" w:ascii="Times New Roman" w:hAnsi="Times New Roman" w:cs="Times New Roman"/>
                <w:color w:val="auto"/>
                <w:sz w:val="24"/>
              </w:rPr>
            </w:pPr>
            <w:r>
              <w:rPr>
                <w:rFonts w:hint="default" w:ascii="Times New Roman" w:hAnsi="Times New Roman" w:cs="Times New Roman"/>
                <w:color w:val="auto"/>
                <w:sz w:val="24"/>
              </w:rPr>
              <w:t>规划名称：《蚌埠市高铁工贸园区</w:t>
            </w:r>
            <w:r>
              <w:rPr>
                <w:rFonts w:hint="default" w:ascii="Times New Roman" w:hAnsi="Times New Roman" w:cs="Times New Roman"/>
                <w:color w:val="auto"/>
                <w:sz w:val="24"/>
                <w:lang w:val="en-US" w:eastAsia="zh-CN"/>
              </w:rPr>
              <w:t>总体发展</w:t>
            </w:r>
            <w:r>
              <w:rPr>
                <w:rFonts w:hint="default" w:ascii="Times New Roman" w:hAnsi="Times New Roman" w:cs="Times New Roman"/>
                <w:color w:val="auto"/>
                <w:sz w:val="24"/>
              </w:rPr>
              <w:t>规划</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2025—2035</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w:t>
            </w:r>
          </w:p>
          <w:p w14:paraId="0E3E476D">
            <w:pPr>
              <w:spacing w:line="440" w:lineRule="exact"/>
              <w:ind w:left="0" w:leftChars="0" w:firstLine="0" w:firstLineChars="0"/>
              <w:rPr>
                <w:rFonts w:hint="default" w:ascii="Times New Roman" w:hAnsi="Times New Roman" w:cs="Times New Roman"/>
                <w:color w:val="auto"/>
                <w:sz w:val="24"/>
              </w:rPr>
            </w:pPr>
            <w:r>
              <w:rPr>
                <w:rFonts w:hint="default" w:ascii="Times New Roman" w:hAnsi="Times New Roman" w:cs="Times New Roman"/>
                <w:color w:val="auto"/>
                <w:sz w:val="24"/>
              </w:rPr>
              <w:t>蚌埠市国土空间总体规划（2021—2035年）</w:t>
            </w:r>
          </w:p>
          <w:p w14:paraId="4EB1268C">
            <w:pPr>
              <w:spacing w:line="440" w:lineRule="exact"/>
              <w:ind w:left="0" w:leftChars="0" w:firstLine="0" w:firstLineChars="0"/>
              <w:rPr>
                <w:rFonts w:hint="default" w:ascii="Times New Roman" w:hAnsi="Times New Roman" w:cs="Times New Roman"/>
                <w:color w:val="auto"/>
                <w:sz w:val="24"/>
              </w:rPr>
            </w:pPr>
            <w:r>
              <w:rPr>
                <w:rFonts w:hint="default" w:ascii="Times New Roman" w:hAnsi="Times New Roman" w:cs="Times New Roman"/>
                <w:color w:val="auto"/>
                <w:sz w:val="24"/>
              </w:rPr>
              <w:t>规划名称：《蚌埠市国土空间总体规划》（2021—2035年）</w:t>
            </w:r>
          </w:p>
          <w:p w14:paraId="0F1D455F">
            <w:pPr>
              <w:spacing w:line="440" w:lineRule="exact"/>
              <w:ind w:left="0" w:leftChars="0" w:firstLine="0" w:firstLineChars="0"/>
              <w:rPr>
                <w:rFonts w:hint="default" w:ascii="Times New Roman" w:hAnsi="Times New Roman" w:cs="Times New Roman"/>
                <w:color w:val="auto"/>
                <w:sz w:val="24"/>
              </w:rPr>
            </w:pPr>
            <w:r>
              <w:rPr>
                <w:rFonts w:hint="default" w:ascii="Times New Roman" w:hAnsi="Times New Roman" w:cs="Times New Roman"/>
                <w:color w:val="auto"/>
                <w:sz w:val="24"/>
              </w:rPr>
              <w:t>审批机关：安徽省人民政府</w:t>
            </w:r>
          </w:p>
          <w:p w14:paraId="32140BC2">
            <w:pPr>
              <w:spacing w:line="440" w:lineRule="exact"/>
              <w:ind w:left="0" w:leftChars="0" w:firstLine="0" w:firstLineChars="0"/>
              <w:rPr>
                <w:rFonts w:hint="default" w:ascii="Times New Roman" w:hAnsi="Times New Roman" w:cs="Times New Roman"/>
                <w:color w:val="auto"/>
                <w:sz w:val="24"/>
              </w:rPr>
            </w:pPr>
            <w:r>
              <w:rPr>
                <w:rFonts w:hint="default" w:ascii="Times New Roman" w:hAnsi="Times New Roman" w:cs="Times New Roman"/>
                <w:color w:val="auto"/>
                <w:sz w:val="24"/>
              </w:rPr>
              <w:t>审批文件名称和文号：《安徽省人民政府关于〈蚌埠市国土空间总体规划（2021-2035年）〉的批复》（皖政秘〔2024〕44号）</w:t>
            </w:r>
          </w:p>
        </w:tc>
      </w:tr>
      <w:tr w14:paraId="47DBE3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70" w:type="pct"/>
            <w:gridSpan w:val="2"/>
            <w:vAlign w:val="center"/>
          </w:tcPr>
          <w:p w14:paraId="33985769">
            <w:pPr>
              <w:adjustRightInd w:val="0"/>
              <w:snapToGrid w:val="0"/>
              <w:spacing w:line="240" w:lineRule="auto"/>
              <w:ind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规划环境影响评价情况</w:t>
            </w:r>
          </w:p>
        </w:tc>
        <w:tc>
          <w:tcPr>
            <w:tcW w:w="4329" w:type="pct"/>
            <w:gridSpan w:val="3"/>
            <w:vAlign w:val="center"/>
          </w:tcPr>
          <w:p w14:paraId="27CAE68A">
            <w:pPr>
              <w:autoSpaceDE w:val="0"/>
              <w:autoSpaceDN w:val="0"/>
              <w:adjustRightInd w:val="0"/>
              <w:snapToGrid w:val="0"/>
              <w:spacing w:line="500" w:lineRule="exact"/>
              <w:ind w:left="0" w:leftChars="0" w:firstLine="0" w:firstLineChars="0"/>
              <w:jc w:val="both"/>
              <w:rPr>
                <w:rFonts w:hint="default" w:ascii="Times New Roman" w:hAnsi="Times New Roman" w:cs="Times New Roman"/>
                <w:color w:val="auto"/>
                <w:sz w:val="24"/>
              </w:rPr>
            </w:pPr>
            <w:r>
              <w:rPr>
                <w:rFonts w:hint="default" w:ascii="Times New Roman" w:hAnsi="Times New Roman" w:cs="Times New Roman"/>
                <w:color w:val="auto"/>
                <w:sz w:val="24"/>
              </w:rPr>
              <w:t>规划环评名称：《蚌埠市高铁工贸园区</w:t>
            </w:r>
            <w:r>
              <w:rPr>
                <w:rFonts w:hint="default" w:ascii="Times New Roman" w:hAnsi="Times New Roman" w:cs="Times New Roman"/>
                <w:color w:val="auto"/>
                <w:sz w:val="24"/>
                <w:lang w:val="en-US" w:eastAsia="zh-CN"/>
              </w:rPr>
              <w:t>总体发展</w:t>
            </w:r>
            <w:r>
              <w:rPr>
                <w:rFonts w:hint="default" w:ascii="Times New Roman" w:hAnsi="Times New Roman" w:cs="Times New Roman"/>
                <w:color w:val="auto"/>
                <w:sz w:val="24"/>
              </w:rPr>
              <w:t>规划</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2025—2035</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环境影响报告书》</w:t>
            </w:r>
          </w:p>
          <w:p w14:paraId="09BEFCC5">
            <w:pPr>
              <w:autoSpaceDE w:val="0"/>
              <w:autoSpaceDN w:val="0"/>
              <w:adjustRightInd w:val="0"/>
              <w:snapToGrid w:val="0"/>
              <w:spacing w:line="500" w:lineRule="exact"/>
              <w:ind w:left="0" w:leftChars="0" w:firstLine="0" w:firstLineChars="0"/>
              <w:jc w:val="both"/>
              <w:rPr>
                <w:rFonts w:hint="default" w:ascii="Times New Roman" w:hAnsi="Times New Roman" w:cs="Times New Roman"/>
                <w:color w:val="auto"/>
                <w:sz w:val="24"/>
                <w:highlight w:val="none"/>
              </w:rPr>
            </w:pPr>
            <w:r>
              <w:rPr>
                <w:rFonts w:hint="default" w:ascii="Times New Roman" w:hAnsi="Times New Roman" w:cs="Times New Roman"/>
                <w:color w:val="auto"/>
                <w:sz w:val="24"/>
              </w:rPr>
              <w:t>规划环评审查机关：</w:t>
            </w:r>
            <w:r>
              <w:rPr>
                <w:rFonts w:hint="default" w:ascii="Times New Roman" w:hAnsi="Times New Roman" w:cs="Times New Roman"/>
                <w:color w:val="auto"/>
                <w:sz w:val="24"/>
                <w:highlight w:val="none"/>
              </w:rPr>
              <w:t>蚌埠市</w:t>
            </w:r>
            <w:r>
              <w:rPr>
                <w:rFonts w:hint="default" w:ascii="Times New Roman" w:hAnsi="Times New Roman" w:cs="Times New Roman"/>
                <w:color w:val="auto"/>
                <w:sz w:val="24"/>
                <w:highlight w:val="none"/>
                <w:lang w:eastAsia="zh-CN"/>
              </w:rPr>
              <w:t>龙子湖区</w:t>
            </w:r>
            <w:r>
              <w:rPr>
                <w:rFonts w:hint="default" w:ascii="Times New Roman" w:hAnsi="Times New Roman" w:cs="Times New Roman"/>
                <w:color w:val="auto"/>
                <w:sz w:val="24"/>
                <w:highlight w:val="none"/>
              </w:rPr>
              <w:t>生态环境分局</w:t>
            </w:r>
          </w:p>
          <w:p w14:paraId="42AEA369">
            <w:pPr>
              <w:autoSpaceDE w:val="0"/>
              <w:autoSpaceDN w:val="0"/>
              <w:adjustRightInd w:val="0"/>
              <w:snapToGrid w:val="0"/>
              <w:spacing w:line="500" w:lineRule="exact"/>
              <w:ind w:left="0" w:leftChars="0" w:firstLine="0" w:firstLineChars="0"/>
              <w:jc w:val="both"/>
              <w:rPr>
                <w:rFonts w:hint="default" w:ascii="Times New Roman" w:hAnsi="Times New Roman" w:eastAsia="宋体" w:cs="Times New Roman"/>
                <w:color w:val="auto"/>
                <w:lang w:eastAsia="zh-CN"/>
              </w:rPr>
            </w:pPr>
            <w:r>
              <w:rPr>
                <w:rFonts w:hint="default" w:ascii="Times New Roman" w:hAnsi="Times New Roman" w:cs="Times New Roman"/>
                <w:color w:val="auto"/>
                <w:sz w:val="24"/>
                <w:highlight w:val="none"/>
              </w:rPr>
              <w:t>审查意见及文号：《关于</w:t>
            </w:r>
            <w:r>
              <w:rPr>
                <w:rFonts w:hint="default" w:ascii="Times New Roman" w:hAnsi="Times New Roman" w:cs="Times New Roman"/>
                <w:color w:val="auto"/>
                <w:sz w:val="24"/>
                <w:highlight w:val="none"/>
                <w:lang w:eastAsia="zh-CN"/>
              </w:rPr>
              <w:t>印送</w:t>
            </w:r>
            <w:r>
              <w:rPr>
                <w:rFonts w:hint="default" w:ascii="Times New Roman" w:hAnsi="Times New Roman" w:cs="Times New Roman"/>
                <w:color w:val="auto"/>
                <w:sz w:val="24"/>
                <w:highlight w:val="none"/>
                <w:lang w:val="en-US" w:eastAsia="zh-CN"/>
              </w:rPr>
              <w:t>&lt;</w:t>
            </w:r>
            <w:r>
              <w:rPr>
                <w:rFonts w:hint="default" w:ascii="Times New Roman" w:hAnsi="Times New Roman" w:cs="Times New Roman"/>
                <w:color w:val="auto"/>
                <w:sz w:val="24"/>
                <w:highlight w:val="none"/>
              </w:rPr>
              <w:t>蚌埠市高铁工贸园区</w:t>
            </w:r>
            <w:r>
              <w:rPr>
                <w:rFonts w:hint="default" w:ascii="Times New Roman" w:hAnsi="Times New Roman" w:cs="Times New Roman"/>
                <w:color w:val="auto"/>
                <w:sz w:val="24"/>
                <w:highlight w:val="none"/>
                <w:lang w:eastAsia="zh-CN"/>
              </w:rPr>
              <w:t>总体发展规划（</w:t>
            </w:r>
            <w:r>
              <w:rPr>
                <w:rFonts w:hint="default" w:ascii="Times New Roman" w:hAnsi="Times New Roman" w:cs="Times New Roman"/>
                <w:color w:val="auto"/>
                <w:sz w:val="24"/>
                <w:highlight w:val="none"/>
                <w:lang w:val="en-US" w:eastAsia="zh-CN"/>
              </w:rPr>
              <w:t>2025-2035</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环境影响报告书</w:t>
            </w:r>
            <w:r>
              <w:rPr>
                <w:rFonts w:hint="default" w:ascii="Times New Roman" w:hAnsi="Times New Roman" w:cs="Times New Roman"/>
                <w:color w:val="auto"/>
                <w:sz w:val="24"/>
                <w:highlight w:val="none"/>
                <w:lang w:val="en-US" w:eastAsia="zh-CN"/>
              </w:rPr>
              <w:t>&gt;</w:t>
            </w:r>
            <w:r>
              <w:rPr>
                <w:rFonts w:hint="default" w:ascii="Times New Roman" w:hAnsi="Times New Roman" w:cs="Times New Roman"/>
                <w:color w:val="auto"/>
                <w:sz w:val="24"/>
                <w:highlight w:val="none"/>
              </w:rPr>
              <w:t>审查意见的函》（</w:t>
            </w:r>
            <w:r>
              <w:rPr>
                <w:rFonts w:hint="default" w:ascii="Times New Roman" w:hAnsi="Times New Roman" w:cs="Times New Roman"/>
                <w:color w:val="auto"/>
                <w:sz w:val="24"/>
                <w:highlight w:val="none"/>
                <w:lang w:eastAsia="zh-CN"/>
              </w:rPr>
              <w:t>龙环函</w:t>
            </w:r>
            <w:r>
              <w:rPr>
                <w:rFonts w:hint="default" w:ascii="Times New Roman" w:hAnsi="Times New Roman" w:cs="Times New Roman"/>
                <w:color w:val="auto"/>
                <w:sz w:val="24"/>
                <w:highlight w:val="none"/>
              </w:rPr>
              <w:t>〔20</w:t>
            </w:r>
            <w:r>
              <w:rPr>
                <w:rFonts w:hint="default" w:ascii="Times New Roman" w:hAnsi="Times New Roman" w:cs="Times New Roman"/>
                <w:color w:val="auto"/>
                <w:sz w:val="24"/>
                <w:highlight w:val="none"/>
                <w:lang w:val="en-US" w:eastAsia="zh-CN"/>
              </w:rPr>
              <w:t>25</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号）。</w:t>
            </w:r>
          </w:p>
        </w:tc>
      </w:tr>
      <w:tr w14:paraId="637FC9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12" w:type="pct"/>
            <w:vAlign w:val="center"/>
          </w:tcPr>
          <w:p w14:paraId="5659E546">
            <w:pPr>
              <w:autoSpaceDE w:val="0"/>
              <w:autoSpaceDN w:val="0"/>
              <w:adjustRightInd w:val="0"/>
              <w:snapToGrid w:val="0"/>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规划及规划环境影响评价符合性分析</w:t>
            </w:r>
          </w:p>
        </w:tc>
        <w:tc>
          <w:tcPr>
            <w:tcW w:w="4687" w:type="pct"/>
            <w:gridSpan w:val="4"/>
            <w:vAlign w:val="center"/>
          </w:tcPr>
          <w:p w14:paraId="72986227">
            <w:pPr>
              <w:spacing w:line="360" w:lineRule="auto"/>
              <w:ind w:firstLine="482" w:firstLineChars="200"/>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lang w:val="en-US" w:eastAsia="zh-CN"/>
              </w:rPr>
              <w:t>1</w:t>
            </w:r>
            <w:r>
              <w:rPr>
                <w:rFonts w:hint="default" w:ascii="Times New Roman" w:hAnsi="Times New Roman" w:eastAsia="宋体" w:cs="Times New Roman"/>
                <w:b/>
                <w:bCs/>
                <w:color w:val="auto"/>
                <w:sz w:val="24"/>
              </w:rPr>
              <w:t>、与《蚌埠市高铁工贸园区</w:t>
            </w:r>
            <w:r>
              <w:rPr>
                <w:rFonts w:hint="default" w:ascii="Times New Roman" w:hAnsi="Times New Roman" w:eastAsia="宋体" w:cs="Times New Roman"/>
                <w:b/>
                <w:bCs/>
                <w:color w:val="auto"/>
                <w:sz w:val="24"/>
                <w:lang w:val="en-US" w:eastAsia="zh-CN"/>
              </w:rPr>
              <w:t>总体发展</w:t>
            </w:r>
            <w:r>
              <w:rPr>
                <w:rFonts w:hint="default" w:ascii="Times New Roman" w:hAnsi="Times New Roman" w:eastAsia="宋体" w:cs="Times New Roman"/>
                <w:b/>
                <w:bCs/>
                <w:color w:val="auto"/>
                <w:sz w:val="24"/>
              </w:rPr>
              <w:t>规划</w:t>
            </w:r>
            <w:r>
              <w:rPr>
                <w:rFonts w:hint="default" w:ascii="Times New Roman" w:hAnsi="Times New Roman" w:eastAsia="宋体" w:cs="Times New Roman"/>
                <w:b/>
                <w:bCs/>
                <w:color w:val="auto"/>
                <w:sz w:val="24"/>
                <w:lang w:eastAsia="zh-CN"/>
              </w:rPr>
              <w:t>（</w:t>
            </w:r>
            <w:r>
              <w:rPr>
                <w:rFonts w:hint="default" w:ascii="Times New Roman" w:hAnsi="Times New Roman" w:eastAsia="宋体" w:cs="Times New Roman"/>
                <w:b/>
                <w:bCs/>
                <w:color w:val="auto"/>
                <w:sz w:val="24"/>
                <w:lang w:val="en-US" w:eastAsia="zh-CN"/>
              </w:rPr>
              <w:t>2025—2035</w:t>
            </w:r>
            <w:r>
              <w:rPr>
                <w:rFonts w:hint="default" w:ascii="Times New Roman" w:hAnsi="Times New Roman" w:eastAsia="宋体" w:cs="Times New Roman"/>
                <w:b/>
                <w:bCs/>
                <w:color w:val="auto"/>
                <w:sz w:val="24"/>
                <w:lang w:eastAsia="zh-CN"/>
              </w:rPr>
              <w:t>）</w:t>
            </w:r>
            <w:r>
              <w:rPr>
                <w:rFonts w:hint="default" w:ascii="Times New Roman" w:hAnsi="Times New Roman" w:eastAsia="宋体" w:cs="Times New Roman"/>
                <w:b/>
                <w:bCs/>
                <w:color w:val="auto"/>
                <w:sz w:val="24"/>
              </w:rPr>
              <w:t>》符合性分析</w:t>
            </w:r>
          </w:p>
          <w:p w14:paraId="773EC19B">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（1）规划区范围：</w:t>
            </w:r>
          </w:p>
          <w:p w14:paraId="18AEE85F">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lang w:val="en-US" w:eastAsia="zh-CN"/>
              </w:rPr>
              <w:t>根据工贸园区</w:t>
            </w:r>
            <w:r>
              <w:rPr>
                <w:rFonts w:hint="default" w:ascii="Times New Roman" w:hAnsi="Times New Roman" w:eastAsia="宋体" w:cs="Times New Roman"/>
                <w:b w:val="0"/>
                <w:bCs w:val="0"/>
                <w:color w:val="auto"/>
                <w:sz w:val="24"/>
              </w:rPr>
              <w:t>报送的申请材料</w:t>
            </w:r>
            <w:r>
              <w:rPr>
                <w:rFonts w:hint="default" w:ascii="Times New Roman" w:hAnsi="Times New Roman" w:eastAsia="宋体" w:cs="Times New Roman"/>
                <w:b w:val="0"/>
                <w:bCs w:val="0"/>
                <w:color w:val="auto"/>
                <w:sz w:val="24"/>
                <w:lang w:val="en-US" w:eastAsia="zh-CN"/>
              </w:rPr>
              <w:t>扩区后蚌埠市高铁工贸园区</w:t>
            </w:r>
            <w:r>
              <w:rPr>
                <w:rFonts w:hint="default" w:ascii="Times New Roman" w:hAnsi="Times New Roman" w:eastAsia="宋体" w:cs="Times New Roman"/>
                <w:b w:val="0"/>
                <w:bCs w:val="0"/>
                <w:color w:val="auto"/>
                <w:sz w:val="24"/>
              </w:rPr>
              <w:t>面积为</w:t>
            </w:r>
            <w:r>
              <w:rPr>
                <w:rFonts w:hint="default" w:ascii="Times New Roman" w:hAnsi="Times New Roman" w:eastAsia="宋体" w:cs="Times New Roman"/>
                <w:b w:val="0"/>
                <w:bCs w:val="0"/>
                <w:color w:val="auto"/>
                <w:sz w:val="24"/>
                <w:lang w:val="en-US" w:eastAsia="zh-CN"/>
              </w:rPr>
              <w:t>1086.95公顷，</w:t>
            </w:r>
            <w:r>
              <w:rPr>
                <w:rFonts w:hint="default" w:ascii="Times New Roman" w:hAnsi="Times New Roman" w:eastAsia="宋体" w:cs="Times New Roman"/>
                <w:b w:val="0"/>
                <w:bCs w:val="0"/>
                <w:color w:val="auto"/>
                <w:sz w:val="24"/>
              </w:rPr>
              <w:t>包含</w:t>
            </w:r>
            <w:r>
              <w:rPr>
                <w:rFonts w:hint="default" w:ascii="Times New Roman" w:hAnsi="Times New Roman" w:eastAsia="宋体" w:cs="Times New Roman"/>
                <w:b w:val="0"/>
                <w:bCs w:val="0"/>
                <w:color w:val="auto"/>
                <w:sz w:val="24"/>
                <w:lang w:val="en-US" w:eastAsia="zh-CN"/>
              </w:rPr>
              <w:t>三</w:t>
            </w:r>
            <w:r>
              <w:rPr>
                <w:rFonts w:hint="default" w:ascii="Times New Roman" w:hAnsi="Times New Roman" w:eastAsia="宋体" w:cs="Times New Roman"/>
                <w:b w:val="0"/>
                <w:bCs w:val="0"/>
                <w:color w:val="auto"/>
                <w:sz w:val="24"/>
              </w:rPr>
              <w:t>个区块，其中</w:t>
            </w:r>
            <w:r>
              <w:rPr>
                <w:rFonts w:hint="default" w:ascii="Times New Roman" w:hAnsi="Times New Roman" w:eastAsia="宋体" w:cs="Times New Roman"/>
                <w:b w:val="0"/>
                <w:bCs w:val="0"/>
                <w:color w:val="auto"/>
                <w:sz w:val="24"/>
                <w:lang w:val="en-US" w:eastAsia="zh-CN"/>
              </w:rPr>
              <w:t>区块一规划面积1040.22公顷，四至范围为：</w:t>
            </w:r>
            <w:r>
              <w:rPr>
                <w:rFonts w:hint="default" w:ascii="Times New Roman" w:hAnsi="Times New Roman" w:eastAsia="宋体" w:cs="Times New Roman"/>
                <w:b w:val="0"/>
                <w:bCs w:val="0"/>
                <w:color w:val="auto"/>
                <w:sz w:val="24"/>
              </w:rPr>
              <w:t>东至蚌五泗高速公路、D-3路</w:t>
            </w:r>
            <w:r>
              <w:rPr>
                <w:rFonts w:hint="default" w:ascii="Times New Roman" w:hAnsi="Times New Roman" w:eastAsia="宋体" w:cs="Times New Roman"/>
                <w:b w:val="0"/>
                <w:bCs w:val="0"/>
                <w:color w:val="auto"/>
                <w:sz w:val="24"/>
                <w:lang w:val="en-US" w:eastAsia="zh-CN"/>
              </w:rPr>
              <w:t>，</w:t>
            </w:r>
            <w:r>
              <w:rPr>
                <w:rFonts w:hint="default" w:ascii="Times New Roman" w:hAnsi="Times New Roman" w:eastAsia="宋体" w:cs="Times New Roman"/>
                <w:b w:val="0"/>
                <w:bCs w:val="0"/>
                <w:color w:val="auto"/>
                <w:sz w:val="24"/>
              </w:rPr>
              <w:t>南到东海大道、</w:t>
            </w:r>
            <w:r>
              <w:rPr>
                <w:rFonts w:hint="default" w:ascii="Times New Roman" w:hAnsi="Times New Roman" w:eastAsia="宋体" w:cs="Times New Roman"/>
                <w:b w:val="0"/>
                <w:bCs w:val="0"/>
                <w:color w:val="auto"/>
                <w:sz w:val="24"/>
                <w:lang w:val="en-US" w:eastAsia="zh-CN"/>
              </w:rPr>
              <w:t>G45路、规划路</w:t>
            </w:r>
            <w:r>
              <w:rPr>
                <w:rFonts w:hint="default" w:ascii="Times New Roman" w:hAnsi="Times New Roman" w:eastAsia="宋体" w:cs="Times New Roman"/>
                <w:b w:val="0"/>
                <w:bCs w:val="0"/>
                <w:color w:val="auto"/>
                <w:sz w:val="24"/>
              </w:rPr>
              <w:t>，</w:t>
            </w:r>
            <w:r>
              <w:rPr>
                <w:rFonts w:hint="default" w:ascii="Times New Roman" w:hAnsi="Times New Roman" w:eastAsia="宋体" w:cs="Times New Roman"/>
                <w:b w:val="0"/>
                <w:bCs w:val="0"/>
                <w:color w:val="auto"/>
                <w:sz w:val="24"/>
                <w:lang w:val="en-US" w:eastAsia="zh-CN"/>
              </w:rPr>
              <w:t>西至</w:t>
            </w:r>
            <w:r>
              <w:rPr>
                <w:rFonts w:hint="default" w:ascii="Times New Roman" w:hAnsi="Times New Roman" w:eastAsia="宋体" w:cs="Times New Roman"/>
                <w:b w:val="0"/>
                <w:bCs w:val="0"/>
                <w:color w:val="auto"/>
                <w:sz w:val="24"/>
              </w:rPr>
              <w:t>中环线、李楼路</w:t>
            </w:r>
            <w:r>
              <w:rPr>
                <w:rFonts w:hint="default" w:ascii="Times New Roman" w:hAnsi="Times New Roman" w:eastAsia="宋体" w:cs="Times New Roman"/>
                <w:b w:val="0"/>
                <w:bCs w:val="0"/>
                <w:color w:val="auto"/>
                <w:sz w:val="24"/>
                <w:lang w:eastAsia="zh-CN"/>
              </w:rPr>
              <w:t>、</w:t>
            </w:r>
            <w:r>
              <w:rPr>
                <w:rFonts w:hint="default" w:ascii="Times New Roman" w:hAnsi="Times New Roman" w:eastAsia="宋体" w:cs="Times New Roman"/>
                <w:b w:val="0"/>
                <w:bCs w:val="0"/>
                <w:color w:val="auto"/>
                <w:sz w:val="24"/>
                <w:lang w:val="en-US" w:eastAsia="zh-CN"/>
              </w:rPr>
              <w:t>龙锦路</w:t>
            </w:r>
            <w:r>
              <w:rPr>
                <w:rFonts w:hint="default" w:ascii="Times New Roman" w:hAnsi="Times New Roman" w:eastAsia="宋体" w:cs="Times New Roman"/>
                <w:b w:val="0"/>
                <w:bCs w:val="0"/>
                <w:color w:val="auto"/>
                <w:sz w:val="24"/>
              </w:rPr>
              <w:t>，北至京沪铁路线</w:t>
            </w:r>
            <w:r>
              <w:rPr>
                <w:rFonts w:hint="default" w:ascii="Times New Roman" w:hAnsi="Times New Roman" w:eastAsia="宋体" w:cs="Times New Roman"/>
                <w:b w:val="0"/>
                <w:bCs w:val="0"/>
                <w:color w:val="auto"/>
                <w:sz w:val="24"/>
                <w:lang w:eastAsia="zh-CN"/>
              </w:rPr>
              <w:t>、</w:t>
            </w:r>
            <w:r>
              <w:rPr>
                <w:rFonts w:hint="default" w:ascii="Times New Roman" w:hAnsi="Times New Roman" w:eastAsia="宋体" w:cs="Times New Roman"/>
                <w:b w:val="0"/>
                <w:bCs w:val="0"/>
                <w:color w:val="auto"/>
                <w:sz w:val="24"/>
                <w:lang w:val="en-US" w:eastAsia="zh-CN"/>
              </w:rPr>
              <w:t>宝塔路。区块二规划面积37.65公顷，四至范围为：东至司马庄路，南至宝塔路，西至G30路，北至望山路。区块三规划面积为9.08公顷，四至范围为：东至龙锦路，南至G39路，西至龙山路，北至凤安路</w:t>
            </w:r>
            <w:r>
              <w:rPr>
                <w:rFonts w:hint="default" w:ascii="Times New Roman" w:hAnsi="Times New Roman" w:eastAsia="宋体" w:cs="Times New Roman"/>
                <w:b w:val="0"/>
                <w:bCs w:val="0"/>
                <w:color w:val="auto"/>
                <w:sz w:val="24"/>
              </w:rPr>
              <w:t>。</w:t>
            </w:r>
          </w:p>
          <w:p w14:paraId="0EF30D2A">
            <w:pPr>
              <w:spacing w:line="360" w:lineRule="auto"/>
              <w:ind w:firstLine="480" w:firstLineChars="200"/>
              <w:rPr>
                <w:rFonts w:hint="default" w:ascii="Times New Roman" w:hAnsi="Times New Roman" w:eastAsia="宋体" w:cs="Times New Roman"/>
                <w:b w:val="0"/>
                <w:bCs w:val="0"/>
                <w:color w:val="auto"/>
                <w:sz w:val="24"/>
              </w:rPr>
            </w:pPr>
          </w:p>
          <w:p w14:paraId="133605CD">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（2）规划期限：</w:t>
            </w:r>
          </w:p>
          <w:p w14:paraId="38957188">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规划期限确定为20</w:t>
            </w:r>
            <w:r>
              <w:rPr>
                <w:rFonts w:hint="default" w:ascii="Times New Roman" w:hAnsi="Times New Roman" w:cs="Times New Roman"/>
                <w:b w:val="0"/>
                <w:bCs w:val="0"/>
                <w:color w:val="auto"/>
                <w:sz w:val="24"/>
                <w:lang w:val="en-US" w:eastAsia="zh-CN"/>
              </w:rPr>
              <w:t>25</w:t>
            </w:r>
            <w:r>
              <w:rPr>
                <w:rFonts w:hint="default" w:ascii="Times New Roman" w:hAnsi="Times New Roman" w:eastAsia="宋体" w:cs="Times New Roman"/>
                <w:b w:val="0"/>
                <w:bCs w:val="0"/>
                <w:color w:val="auto"/>
                <w:sz w:val="24"/>
              </w:rPr>
              <w:t>～2030年。</w:t>
            </w:r>
          </w:p>
          <w:p w14:paraId="3DC90A92">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（3）主导产业</w:t>
            </w:r>
          </w:p>
          <w:p w14:paraId="77A516B6">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lang w:val="en-US" w:eastAsia="zh-CN"/>
              </w:rPr>
              <w:t>新一代信息技术、高端装备制造、先进无机非金属材料，协调发展新能源、节能环保、相关服务业</w:t>
            </w:r>
            <w:r>
              <w:rPr>
                <w:rFonts w:hint="default" w:ascii="Times New Roman" w:hAnsi="Times New Roman" w:eastAsia="宋体" w:cs="Times New Roman"/>
                <w:b w:val="0"/>
                <w:bCs w:val="0"/>
                <w:color w:val="auto"/>
                <w:sz w:val="24"/>
              </w:rPr>
              <w:t>。</w:t>
            </w:r>
          </w:p>
          <w:p w14:paraId="1B139C68">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（4）功能定位</w:t>
            </w:r>
          </w:p>
          <w:p w14:paraId="0A4BE425">
            <w:pPr>
              <w:spacing w:line="360" w:lineRule="auto"/>
              <w:ind w:firstLine="480" w:firstLineChars="200"/>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rPr>
              <w:t>以</w:t>
            </w:r>
            <w:r>
              <w:rPr>
                <w:rFonts w:hint="default" w:ascii="Times New Roman" w:hAnsi="Times New Roman" w:eastAsia="宋体" w:cs="Times New Roman"/>
                <w:b w:val="0"/>
                <w:bCs w:val="0"/>
                <w:color w:val="auto"/>
                <w:sz w:val="24"/>
                <w:lang w:val="en-US" w:eastAsia="zh-CN"/>
              </w:rPr>
              <w:t>发展新一代信息技术、高端装备制造、先进无机非金属材料，协调发展新能源、节能环保、相关服务业</w:t>
            </w:r>
            <w:r>
              <w:rPr>
                <w:rFonts w:hint="default" w:ascii="Times New Roman" w:hAnsi="Times New Roman" w:eastAsia="宋体" w:cs="Times New Roman"/>
                <w:b w:val="0"/>
                <w:bCs w:val="0"/>
                <w:color w:val="auto"/>
                <w:sz w:val="24"/>
              </w:rPr>
              <w:t>为主导产业</w:t>
            </w:r>
            <w:r>
              <w:rPr>
                <w:rFonts w:hint="default" w:ascii="Times New Roman" w:hAnsi="Times New Roman" w:eastAsia="宋体" w:cs="Times New Roman"/>
                <w:b w:val="0"/>
                <w:bCs w:val="0"/>
                <w:color w:val="auto"/>
                <w:sz w:val="24"/>
                <w:highlight w:val="none"/>
              </w:rPr>
              <w:t>的环境优美、工业发达、居住舒适、交通便捷的现代化园区。</w:t>
            </w:r>
          </w:p>
          <w:p w14:paraId="20A012EC">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相符性分析：本项目位于安徽省</w:t>
            </w:r>
            <w:r>
              <w:rPr>
                <w:rFonts w:hint="default" w:ascii="Times New Roman" w:hAnsi="Times New Roman" w:cs="Times New Roman"/>
                <w:b w:val="0"/>
                <w:bCs w:val="0"/>
                <w:color w:val="auto"/>
                <w:sz w:val="24"/>
                <w:lang w:eastAsia="zh-CN"/>
              </w:rPr>
              <w:t>安徽省蚌埠市龙子湖区李楼乡胜利东路199号（厂区东片）</w:t>
            </w:r>
            <w:r>
              <w:rPr>
                <w:rFonts w:hint="default" w:ascii="Times New Roman" w:hAnsi="Times New Roman" w:eastAsia="宋体" w:cs="Times New Roman"/>
                <w:b w:val="0"/>
                <w:bCs w:val="0"/>
                <w:color w:val="auto"/>
                <w:sz w:val="24"/>
              </w:rPr>
              <w:t>，属于蚌埠市龙子湖区高铁工贸区范畴，本项目租赁厂房，用地性质为工业用地，不新增建设用地</w:t>
            </w:r>
            <w:r>
              <w:rPr>
                <w:rFonts w:hint="default" w:ascii="Times New Roman" w:hAnsi="Times New Roman" w:eastAsia="宋体" w:cs="Times New Roman"/>
                <w:b w:val="0"/>
                <w:bCs w:val="0"/>
                <w:color w:val="auto"/>
                <w:sz w:val="24"/>
                <w:lang w:eastAsia="zh-CN"/>
              </w:rPr>
              <w:t>，用地符合土地利用规划</w:t>
            </w:r>
            <w:r>
              <w:rPr>
                <w:rFonts w:hint="default" w:ascii="Times New Roman" w:hAnsi="Times New Roman" w:eastAsia="宋体" w:cs="Times New Roman"/>
                <w:b w:val="0"/>
                <w:bCs w:val="0"/>
                <w:color w:val="auto"/>
                <w:sz w:val="24"/>
              </w:rPr>
              <w:t>；本项目为</w:t>
            </w:r>
            <w:r>
              <w:rPr>
                <w:rFonts w:hint="default" w:ascii="Times New Roman" w:hAnsi="Times New Roman" w:cs="Times New Roman"/>
                <w:bCs/>
                <w:color w:val="auto"/>
                <w:szCs w:val="21"/>
                <w:lang w:val="en-US" w:eastAsia="zh-CN"/>
              </w:rPr>
              <w:t>C2927日用塑料制品制造</w:t>
            </w:r>
            <w:r>
              <w:rPr>
                <w:rFonts w:hint="default" w:ascii="Times New Roman" w:hAnsi="Times New Roman" w:eastAsia="宋体" w:cs="Times New Roman"/>
                <w:b w:val="0"/>
                <w:bCs w:val="0"/>
                <w:color w:val="auto"/>
                <w:sz w:val="24"/>
              </w:rPr>
              <w:t>，</w:t>
            </w:r>
            <w:r>
              <w:rPr>
                <w:rFonts w:hint="default" w:ascii="Times New Roman" w:hAnsi="Times New Roman" w:cs="Times New Roman"/>
                <w:b w:val="0"/>
                <w:bCs w:val="0"/>
                <w:color w:val="auto"/>
                <w:sz w:val="24"/>
                <w:lang w:eastAsia="zh-CN"/>
              </w:rPr>
              <w:t>主要产品为</w:t>
            </w:r>
            <w:r>
              <w:rPr>
                <w:rFonts w:hint="default" w:ascii="Times New Roman" w:hAnsi="Times New Roman" w:cs="Times New Roman"/>
                <w:b w:val="0"/>
                <w:bCs w:val="0"/>
                <w:color w:val="auto"/>
                <w:sz w:val="24"/>
                <w:highlight w:val="none"/>
                <w:lang w:eastAsia="zh-CN"/>
              </w:rPr>
              <w:t>保温容器外壳，</w:t>
            </w:r>
            <w:r>
              <w:rPr>
                <w:rFonts w:hint="default" w:ascii="Times New Roman" w:hAnsi="Times New Roman" w:eastAsia="宋体" w:cs="Times New Roman"/>
                <w:b w:val="0"/>
                <w:bCs w:val="0"/>
                <w:color w:val="auto"/>
                <w:sz w:val="24"/>
                <w:highlight w:val="none"/>
              </w:rPr>
              <w:t>属于主导产业中“</w:t>
            </w:r>
            <w:r>
              <w:rPr>
                <w:rFonts w:hint="default" w:ascii="Times New Roman" w:hAnsi="Times New Roman" w:cs="Times New Roman"/>
                <w:b w:val="0"/>
                <w:bCs w:val="0"/>
                <w:color w:val="auto"/>
                <w:sz w:val="24"/>
                <w:highlight w:val="none"/>
                <w:lang w:val="en-US" w:eastAsia="zh-CN"/>
              </w:rPr>
              <w:t>相关服务业</w:t>
            </w:r>
            <w:r>
              <w:rPr>
                <w:rFonts w:hint="default" w:ascii="Times New Roman" w:hAnsi="Times New Roman" w:eastAsia="宋体" w:cs="Times New Roman"/>
                <w:b w:val="0"/>
                <w:bCs w:val="0"/>
                <w:color w:val="auto"/>
                <w:sz w:val="24"/>
                <w:highlight w:val="none"/>
              </w:rPr>
              <w:t>”的</w:t>
            </w:r>
            <w:r>
              <w:rPr>
                <w:rFonts w:hint="default" w:ascii="Times New Roman" w:hAnsi="Times New Roman" w:cs="Times New Roman"/>
                <w:b w:val="0"/>
                <w:bCs w:val="0"/>
                <w:color w:val="auto"/>
                <w:sz w:val="24"/>
                <w:highlight w:val="none"/>
                <w:lang w:eastAsia="zh-CN"/>
              </w:rPr>
              <w:t>配套产业</w:t>
            </w:r>
            <w:r>
              <w:rPr>
                <w:rFonts w:hint="default" w:ascii="Times New Roman" w:hAnsi="Times New Roman" w:eastAsia="宋体" w:cs="Times New Roman"/>
                <w:b w:val="0"/>
                <w:bCs w:val="0"/>
                <w:color w:val="auto"/>
                <w:sz w:val="24"/>
                <w:highlight w:val="none"/>
              </w:rPr>
              <w:t>，</w:t>
            </w:r>
            <w:r>
              <w:rPr>
                <w:rFonts w:hint="default" w:ascii="Times New Roman" w:hAnsi="Times New Roman" w:eastAsia="宋体" w:cs="Times New Roman"/>
                <w:b w:val="0"/>
                <w:bCs w:val="0"/>
                <w:color w:val="auto"/>
                <w:sz w:val="24"/>
              </w:rPr>
              <w:t>符合蚌埠市高铁工贸园区</w:t>
            </w:r>
            <w:r>
              <w:rPr>
                <w:rFonts w:hint="default" w:ascii="Times New Roman" w:hAnsi="Times New Roman" w:eastAsia="宋体" w:cs="Times New Roman"/>
                <w:b w:val="0"/>
                <w:bCs w:val="0"/>
                <w:color w:val="auto"/>
                <w:sz w:val="24"/>
                <w:lang w:val="en-US" w:eastAsia="zh-CN"/>
              </w:rPr>
              <w:t>总体发展</w:t>
            </w:r>
            <w:r>
              <w:rPr>
                <w:rFonts w:hint="default" w:ascii="Times New Roman" w:hAnsi="Times New Roman" w:eastAsia="宋体" w:cs="Times New Roman"/>
                <w:b w:val="0"/>
                <w:bCs w:val="0"/>
                <w:color w:val="auto"/>
                <w:sz w:val="24"/>
              </w:rPr>
              <w:t>规划</w:t>
            </w:r>
            <w:r>
              <w:rPr>
                <w:rFonts w:hint="default" w:ascii="Times New Roman" w:hAnsi="Times New Roman" w:eastAsia="宋体" w:cs="Times New Roman"/>
                <w:b w:val="0"/>
                <w:bCs w:val="0"/>
                <w:color w:val="auto"/>
                <w:sz w:val="24"/>
                <w:lang w:eastAsia="zh-CN"/>
              </w:rPr>
              <w:t>（</w:t>
            </w:r>
            <w:r>
              <w:rPr>
                <w:rFonts w:hint="default" w:ascii="Times New Roman" w:hAnsi="Times New Roman" w:eastAsia="宋体" w:cs="Times New Roman"/>
                <w:b w:val="0"/>
                <w:bCs w:val="0"/>
                <w:color w:val="auto"/>
                <w:sz w:val="24"/>
                <w:lang w:val="en-US" w:eastAsia="zh-CN"/>
              </w:rPr>
              <w:t>2025—2035</w:t>
            </w:r>
            <w:r>
              <w:rPr>
                <w:rFonts w:hint="default" w:ascii="Times New Roman" w:hAnsi="Times New Roman" w:eastAsia="宋体" w:cs="Times New Roman"/>
                <w:b w:val="0"/>
                <w:bCs w:val="0"/>
                <w:color w:val="auto"/>
                <w:sz w:val="24"/>
                <w:lang w:eastAsia="zh-CN"/>
              </w:rPr>
              <w:t>）</w:t>
            </w:r>
            <w:r>
              <w:rPr>
                <w:rFonts w:hint="default" w:ascii="Times New Roman" w:hAnsi="Times New Roman" w:eastAsia="宋体" w:cs="Times New Roman"/>
                <w:b w:val="0"/>
                <w:bCs w:val="0"/>
                <w:color w:val="auto"/>
                <w:sz w:val="24"/>
              </w:rPr>
              <w:t>。</w:t>
            </w:r>
          </w:p>
          <w:p w14:paraId="7DD0E73E">
            <w:pPr>
              <w:spacing w:line="360" w:lineRule="auto"/>
              <w:ind w:firstLine="480" w:firstLineChars="200"/>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color w:val="auto"/>
                <w:sz w:val="24"/>
              </w:rPr>
              <w:t>综上所述，本项目符合《</w:t>
            </w:r>
            <w:r>
              <w:rPr>
                <w:rFonts w:hint="default" w:ascii="Times New Roman" w:hAnsi="Times New Roman" w:cs="Times New Roman"/>
                <w:color w:val="auto"/>
                <w:sz w:val="24"/>
              </w:rPr>
              <w:t>蚌埠市高铁工贸园区</w:t>
            </w:r>
            <w:r>
              <w:rPr>
                <w:rFonts w:hint="default" w:ascii="Times New Roman" w:hAnsi="Times New Roman" w:cs="Times New Roman"/>
                <w:color w:val="auto"/>
                <w:sz w:val="24"/>
                <w:lang w:val="en-US" w:eastAsia="zh-CN"/>
              </w:rPr>
              <w:t>总体发展</w:t>
            </w:r>
            <w:r>
              <w:rPr>
                <w:rFonts w:hint="default" w:ascii="Times New Roman" w:hAnsi="Times New Roman" w:cs="Times New Roman"/>
                <w:color w:val="auto"/>
                <w:sz w:val="24"/>
              </w:rPr>
              <w:t>规划</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2025—2035</w:t>
            </w:r>
            <w:r>
              <w:rPr>
                <w:rFonts w:hint="default" w:ascii="Times New Roman" w:hAnsi="Times New Roman" w:cs="Times New Roman"/>
                <w:color w:val="auto"/>
                <w:sz w:val="24"/>
                <w:lang w:eastAsia="zh-CN"/>
              </w:rPr>
              <w:t>）</w:t>
            </w:r>
            <w:r>
              <w:rPr>
                <w:rFonts w:hint="default" w:ascii="Times New Roman" w:hAnsi="Times New Roman" w:eastAsia="宋体" w:cs="Times New Roman"/>
                <w:b w:val="0"/>
                <w:bCs w:val="0"/>
                <w:color w:val="auto"/>
                <w:sz w:val="24"/>
              </w:rPr>
              <w:t>》中的相关要求。</w:t>
            </w:r>
          </w:p>
          <w:p w14:paraId="539DA7ED">
            <w:pPr>
              <w:pStyle w:val="63"/>
              <w:spacing w:line="358" w:lineRule="auto"/>
              <w:ind w:left="72" w:right="53" w:firstLine="474"/>
              <w:rPr>
                <w:rFonts w:hint="default" w:ascii="Times New Roman" w:hAnsi="Times New Roman" w:cs="Times New Roman"/>
                <w:b/>
                <w:bCs/>
                <w:color w:val="auto"/>
                <w:spacing w:val="-5"/>
                <w:highlight w:val="none"/>
              </w:rPr>
            </w:pPr>
            <w:r>
              <w:rPr>
                <w:rFonts w:hint="default" w:ascii="Times New Roman" w:hAnsi="Times New Roman" w:eastAsia="宋体" w:cs="Times New Roman"/>
                <w:b/>
                <w:bCs/>
                <w:color w:val="auto"/>
                <w:spacing w:val="1"/>
                <w:lang w:val="en-US" w:eastAsia="zh-CN"/>
              </w:rPr>
              <w:t>2</w:t>
            </w:r>
            <w:r>
              <w:rPr>
                <w:rFonts w:hint="default" w:ascii="Times New Roman" w:hAnsi="Times New Roman" w:cs="Times New Roman"/>
                <w:b/>
                <w:bCs/>
                <w:color w:val="auto"/>
                <w:spacing w:val="1"/>
              </w:rPr>
              <w:t>、</w:t>
            </w:r>
            <w:r>
              <w:rPr>
                <w:rFonts w:hint="default" w:ascii="Times New Roman" w:hAnsi="Times New Roman" w:cs="Times New Roman"/>
                <w:b/>
                <w:bCs/>
                <w:color w:val="auto"/>
                <w:spacing w:val="1"/>
                <w:highlight w:val="none"/>
              </w:rPr>
              <w:t>与蚌埠市高铁工贸园区总体发展规划（2025-2035年）环境影响报告书及审查意见</w:t>
            </w:r>
            <w:r>
              <w:rPr>
                <w:rFonts w:hint="default" w:ascii="Times New Roman" w:hAnsi="Times New Roman" w:cs="Times New Roman"/>
                <w:b/>
                <w:bCs/>
                <w:color w:val="auto"/>
                <w:spacing w:val="-5"/>
                <w:highlight w:val="none"/>
              </w:rPr>
              <w:t>符合性分析</w:t>
            </w:r>
          </w:p>
          <w:p w14:paraId="1250B1C3">
            <w:pPr>
              <w:autoSpaceDE w:val="0"/>
              <w:autoSpaceDN w:val="0"/>
              <w:spacing w:line="240" w:lineRule="auto"/>
              <w:ind w:firstLine="0" w:firstLineChars="0"/>
              <w:contextualSpacing/>
              <w:jc w:val="center"/>
              <w:rPr>
                <w:rFonts w:hint="default" w:ascii="Times New Roman" w:hAnsi="Times New Roman" w:eastAsia="宋体" w:cs="Times New Roman"/>
                <w:b/>
                <w:bCs/>
                <w:color w:val="auto"/>
                <w:kern w:val="0"/>
                <w:sz w:val="21"/>
                <w:szCs w:val="21"/>
                <w:highlight w:val="none"/>
                <w:lang w:val="en-US" w:eastAsia="zh-CN"/>
              </w:rPr>
            </w:pPr>
            <w:r>
              <w:rPr>
                <w:rFonts w:hint="default" w:ascii="Times New Roman" w:hAnsi="Times New Roman" w:eastAsia="宋体" w:cs="Times New Roman"/>
                <w:b/>
                <w:bCs/>
                <w:color w:val="auto"/>
                <w:kern w:val="0"/>
                <w:sz w:val="21"/>
                <w:szCs w:val="21"/>
                <w:highlight w:val="none"/>
                <w:lang w:val="en-US" w:eastAsia="zh-CN"/>
              </w:rPr>
              <w:t>表1-2  与蚌埠市高铁工贸园区总体发展规划（2025-2035年）</w:t>
            </w:r>
          </w:p>
          <w:p w14:paraId="07293AAA">
            <w:pPr>
              <w:autoSpaceDE w:val="0"/>
              <w:autoSpaceDN w:val="0"/>
              <w:spacing w:line="240" w:lineRule="auto"/>
              <w:ind w:firstLine="0" w:firstLineChars="0"/>
              <w:contextualSpacing/>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highlight w:val="none"/>
                <w:lang w:val="en-US" w:eastAsia="zh-CN"/>
              </w:rPr>
              <w:t>环境影响报告书及审查意见</w:t>
            </w:r>
            <w:r>
              <w:rPr>
                <w:rFonts w:hint="default" w:ascii="Times New Roman" w:hAnsi="Times New Roman" w:eastAsia="宋体" w:cs="Times New Roman"/>
                <w:b/>
                <w:bCs/>
                <w:color w:val="auto"/>
                <w:kern w:val="0"/>
                <w:sz w:val="21"/>
                <w:szCs w:val="21"/>
                <w:lang w:val="en-US" w:eastAsia="zh-CN"/>
              </w:rPr>
              <w:t>符合性分析</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4324"/>
              <w:gridCol w:w="1925"/>
              <w:gridCol w:w="744"/>
            </w:tblGrid>
            <w:tr w14:paraId="56A0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2E172CC7">
                  <w:pPr>
                    <w:keepNext w:val="0"/>
                    <w:keepLines w:val="0"/>
                    <w:widowControl/>
                    <w:suppressLineNumbers w:val="0"/>
                    <w:spacing w:line="240" w:lineRule="auto"/>
                    <w:ind w:firstLine="0" w:firstLineChars="0"/>
                    <w:jc w:val="both"/>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t>序号</w:t>
                  </w:r>
                </w:p>
              </w:tc>
              <w:tc>
                <w:tcPr>
                  <w:tcW w:w="2858" w:type="pct"/>
                  <w:vAlign w:val="center"/>
                </w:tcPr>
                <w:p w14:paraId="62C4CAD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cs="Times New Roman"/>
                      <w:b/>
                      <w:bCs/>
                      <w:i w:val="0"/>
                      <w:iCs w:val="0"/>
                      <w:color w:val="auto"/>
                      <w:kern w:val="0"/>
                      <w:sz w:val="21"/>
                      <w:szCs w:val="26"/>
                      <w:u w:val="none"/>
                      <w:lang w:val="en-US" w:eastAsia="zh-CN" w:bidi="ar"/>
                    </w:rPr>
                    <w:t>环评及</w:t>
                  </w:r>
                  <w:r>
                    <w:rPr>
                      <w:rFonts w:hint="default" w:ascii="Times New Roman" w:hAnsi="Times New Roman" w:eastAsia="宋体" w:cs="Times New Roman"/>
                      <w:b/>
                      <w:bCs/>
                      <w:i w:val="0"/>
                      <w:iCs w:val="0"/>
                      <w:color w:val="auto"/>
                      <w:kern w:val="0"/>
                      <w:sz w:val="21"/>
                      <w:szCs w:val="26"/>
                      <w:u w:val="none"/>
                      <w:lang w:val="en-US" w:eastAsia="zh-CN" w:bidi="ar"/>
                    </w:rPr>
                    <w:t>审查意见要求</w:t>
                  </w:r>
                </w:p>
              </w:tc>
              <w:tc>
                <w:tcPr>
                  <w:tcW w:w="1272" w:type="pct"/>
                  <w:vAlign w:val="center"/>
                </w:tcPr>
                <w:p w14:paraId="566496C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t>本项目情况</w:t>
                  </w:r>
                </w:p>
              </w:tc>
              <w:tc>
                <w:tcPr>
                  <w:tcW w:w="491" w:type="pct"/>
                  <w:vAlign w:val="center"/>
                </w:tcPr>
                <w:p w14:paraId="38E6C61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t>相符性</w:t>
                  </w:r>
                </w:p>
              </w:tc>
            </w:tr>
            <w:tr w14:paraId="7A4E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shd w:val="clear" w:color="auto" w:fill="auto"/>
                  <w:vAlign w:val="center"/>
                </w:tcPr>
                <w:p w14:paraId="2BBC155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1</w:t>
                  </w:r>
                </w:p>
              </w:tc>
              <w:tc>
                <w:tcPr>
                  <w:tcW w:w="2858" w:type="pct"/>
                  <w:vAlign w:val="center"/>
                </w:tcPr>
                <w:p w14:paraId="281717CF">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加强《规划》引领，坚持绿色协调发展。《规划》应全面贯彻落实习近平生态文明思想，加强《规划》与深入打好污染防治攻坚战相关要求、生态环境分区管控、国土空间总体规划的协调衔接。统筹推进园区整体发展和生态保护，基于区域资源、生态、环境等制约因素合理控制开发利用强度和园区建设时序，进一步提高土地利用效率，协调好总体发展与区域环境保护的关系。推进园区减污降碳协同共治、资源节约集约及循环化利用、能源智慧高效利用、环境风险防控等工作的落实，引导园区高质量发展。认真落实园区近期发展规划，着力推进园区产业转型升级和结构布局优化。结合区域生态环境承载力，确保产业发展与区域生态环境保护、人居环境质量保障相协调。</w:t>
                  </w:r>
                </w:p>
              </w:tc>
              <w:tc>
                <w:tcPr>
                  <w:tcW w:w="1272" w:type="pct"/>
                  <w:vAlign w:val="center"/>
                </w:tcPr>
                <w:p w14:paraId="04C72A0A">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highlight w:val="none"/>
                      <w:u w:val="none"/>
                      <w:lang w:val="en-US" w:eastAsia="zh-CN" w:bidi="ar"/>
                    </w:rPr>
                  </w:pPr>
                  <w:r>
                    <w:rPr>
                      <w:rFonts w:hint="default" w:ascii="Times New Roman" w:hAnsi="Times New Roman" w:cs="Times New Roman"/>
                      <w:i w:val="0"/>
                      <w:iCs w:val="0"/>
                      <w:color w:val="auto"/>
                      <w:kern w:val="0"/>
                      <w:sz w:val="21"/>
                      <w:szCs w:val="26"/>
                      <w:highlight w:val="none"/>
                      <w:u w:val="none"/>
                      <w:lang w:val="en-US" w:eastAsia="zh-CN" w:bidi="ar"/>
                    </w:rPr>
                    <w:t>本项目属于C2927日用塑料制品制造，主要产品为保温容器外壳，属于主导产业中</w:t>
                  </w:r>
                  <w:r>
                    <w:rPr>
                      <w:rFonts w:hint="eastAsia" w:cs="Times New Roman"/>
                      <w:i w:val="0"/>
                      <w:iCs w:val="0"/>
                      <w:color w:val="auto"/>
                      <w:kern w:val="0"/>
                      <w:sz w:val="21"/>
                      <w:szCs w:val="26"/>
                      <w:highlight w:val="none"/>
                      <w:u w:val="none"/>
                      <w:lang w:val="en-US" w:eastAsia="zh-CN" w:bidi="ar"/>
                    </w:rPr>
                    <w:t>“</w:t>
                  </w:r>
                  <w:r>
                    <w:rPr>
                      <w:rFonts w:hint="default" w:ascii="Times New Roman" w:hAnsi="Times New Roman" w:cs="Times New Roman"/>
                      <w:i w:val="0"/>
                      <w:iCs w:val="0"/>
                      <w:color w:val="auto"/>
                      <w:kern w:val="0"/>
                      <w:sz w:val="21"/>
                      <w:szCs w:val="26"/>
                      <w:highlight w:val="none"/>
                      <w:u w:val="none"/>
                      <w:lang w:val="en-US" w:eastAsia="zh-CN" w:bidi="ar"/>
                    </w:rPr>
                    <w:t>相关服务业</w:t>
                  </w:r>
                  <w:r>
                    <w:rPr>
                      <w:rFonts w:hint="eastAsia" w:cs="Times New Roman"/>
                      <w:i w:val="0"/>
                      <w:iCs w:val="0"/>
                      <w:color w:val="auto"/>
                      <w:kern w:val="0"/>
                      <w:sz w:val="21"/>
                      <w:szCs w:val="26"/>
                      <w:highlight w:val="none"/>
                      <w:u w:val="none"/>
                      <w:lang w:val="en-US" w:eastAsia="zh-CN" w:bidi="ar"/>
                    </w:rPr>
                    <w:t>”</w:t>
                  </w:r>
                  <w:r>
                    <w:rPr>
                      <w:rFonts w:hint="default" w:ascii="Times New Roman" w:hAnsi="Times New Roman" w:cs="Times New Roman"/>
                      <w:i w:val="0"/>
                      <w:iCs w:val="0"/>
                      <w:color w:val="auto"/>
                      <w:kern w:val="0"/>
                      <w:sz w:val="21"/>
                      <w:szCs w:val="26"/>
                      <w:highlight w:val="none"/>
                      <w:u w:val="none"/>
                      <w:lang w:val="en-US" w:eastAsia="zh-CN" w:bidi="ar"/>
                    </w:rPr>
                    <w:t>的配套产业，符合园区的产业定位</w:t>
                  </w:r>
                </w:p>
              </w:tc>
              <w:tc>
                <w:tcPr>
                  <w:tcW w:w="491" w:type="pct"/>
                  <w:vAlign w:val="center"/>
                </w:tcPr>
                <w:p w14:paraId="7705E182">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符合</w:t>
                  </w:r>
                </w:p>
              </w:tc>
            </w:tr>
            <w:tr w14:paraId="090A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shd w:val="clear" w:color="auto" w:fill="auto"/>
                  <w:vAlign w:val="center"/>
                </w:tcPr>
                <w:p w14:paraId="0004344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2</w:t>
                  </w:r>
                </w:p>
              </w:tc>
              <w:tc>
                <w:tcPr>
                  <w:tcW w:w="2858" w:type="pct"/>
                  <w:vAlign w:val="center"/>
                </w:tcPr>
                <w:p w14:paraId="28CDEE5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严守环境质量底线，落实区域环境质量管控措施。园区周边设计蚌埠市龙子湖风景名胜区、沿淮绿色生态廊道区，生态环境保护要求较高，应主动避让、强化保护措施并与其边界保持一定的缓冲防护距离。园区应坚持“生态优先、绿色发展”的战略定位，以生态环境质量改善、环境风险防范为核心，明确园区发展存在的环境制约因素，同手考虑对周边居民区的生态环境影响。根据国家和我省大气、水、土壤、环境风险防范和固体废物污染防治相关要求，妥善解决区域现存生态环境问题，确保园区建设项目污染物长期稳定达标排放，区域生态环境质量持续改善。园区应根据环境质量现状及管控目标，严格控制污染物排放尤其是水污染物排放总量，确保不因规划实施造成现有环境功能降低。</w:t>
                  </w:r>
                </w:p>
              </w:tc>
              <w:tc>
                <w:tcPr>
                  <w:tcW w:w="1272" w:type="pct"/>
                  <w:vAlign w:val="center"/>
                </w:tcPr>
                <w:p w14:paraId="235662C5">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本项目生活污水经化粪池预处理后与循环冷却水一同进入市政污水管网，纳入蚌埠市第二污水处理厂处理后排放。注塑废气经集气罩收集</w:t>
                  </w:r>
                  <w:r>
                    <w:rPr>
                      <w:rFonts w:hint="eastAsia" w:cs="Times New Roman"/>
                      <w:i w:val="0"/>
                      <w:iCs w:val="0"/>
                      <w:color w:val="auto"/>
                      <w:kern w:val="0"/>
                      <w:sz w:val="21"/>
                      <w:szCs w:val="26"/>
                      <w:u w:val="none"/>
                      <w:lang w:val="en-US" w:eastAsia="zh-CN" w:bidi="ar"/>
                    </w:rPr>
                    <w:t>后与</w:t>
                  </w:r>
                  <w:r>
                    <w:rPr>
                      <w:rFonts w:hint="eastAsia" w:ascii="Times New Roman" w:hAnsi="Times New Roman" w:cs="Times New Roman"/>
                      <w:i w:val="0"/>
                      <w:iCs w:val="0"/>
                      <w:color w:val="auto"/>
                      <w:kern w:val="0"/>
                      <w:sz w:val="21"/>
                      <w:szCs w:val="26"/>
                      <w:u w:val="none"/>
                      <w:lang w:val="en-US" w:eastAsia="zh-CN" w:bidi="ar"/>
                    </w:rPr>
                    <w:t>喷漆</w:t>
                  </w:r>
                  <w:r>
                    <w:rPr>
                      <w:rFonts w:hint="eastAsia" w:cs="Times New Roman"/>
                      <w:i w:val="0"/>
                      <w:iCs w:val="0"/>
                      <w:color w:val="auto"/>
                      <w:kern w:val="0"/>
                      <w:sz w:val="21"/>
                      <w:szCs w:val="26"/>
                      <w:u w:val="none"/>
                      <w:lang w:val="en-US" w:eastAsia="zh-CN" w:bidi="ar"/>
                    </w:rPr>
                    <w:t>晾干房废气</w:t>
                  </w:r>
                  <w:r>
                    <w:rPr>
                      <w:rFonts w:hint="default" w:ascii="Times New Roman" w:hAnsi="Times New Roman" w:cs="Times New Roman"/>
                      <w:i w:val="0"/>
                      <w:iCs w:val="0"/>
                      <w:color w:val="auto"/>
                      <w:kern w:val="0"/>
                      <w:sz w:val="21"/>
                      <w:szCs w:val="26"/>
                      <w:u w:val="none"/>
                      <w:lang w:val="en-US" w:eastAsia="zh-CN" w:bidi="ar"/>
                    </w:rPr>
                    <w:t>经</w:t>
                  </w:r>
                  <w:r>
                    <w:rPr>
                      <w:rFonts w:hint="eastAsia" w:ascii="Times New Roman" w:hAnsi="Times New Roman" w:cs="Times New Roman"/>
                      <w:i w:val="0"/>
                      <w:iCs w:val="0"/>
                      <w:color w:val="auto"/>
                      <w:kern w:val="0"/>
                      <w:sz w:val="21"/>
                      <w:szCs w:val="26"/>
                      <w:u w:val="none"/>
                      <w:lang w:val="en-US" w:eastAsia="zh-CN" w:bidi="ar"/>
                    </w:rPr>
                    <w:t>过滤棉</w:t>
                  </w:r>
                  <w:r>
                    <w:rPr>
                      <w:rFonts w:hint="eastAsia" w:cs="Times New Roman"/>
                      <w:i w:val="0"/>
                      <w:iCs w:val="0"/>
                      <w:color w:val="auto"/>
                      <w:kern w:val="0"/>
                      <w:sz w:val="21"/>
                      <w:szCs w:val="26"/>
                      <w:u w:val="none"/>
                      <w:lang w:val="en-US" w:eastAsia="zh-CN" w:bidi="ar"/>
                    </w:rPr>
                    <w:t>处理后，一同经</w:t>
                  </w:r>
                  <w:r>
                    <w:rPr>
                      <w:rFonts w:hint="default" w:ascii="Times New Roman" w:hAnsi="Times New Roman" w:cs="Times New Roman"/>
                      <w:i w:val="0"/>
                      <w:iCs w:val="0"/>
                      <w:color w:val="auto"/>
                      <w:kern w:val="0"/>
                      <w:sz w:val="21"/>
                      <w:szCs w:val="26"/>
                      <w:u w:val="none"/>
                      <w:lang w:val="en-US" w:eastAsia="zh-CN" w:bidi="ar"/>
                    </w:rPr>
                    <w:t>二级活性炭吸附装置+15m高排气筒（DA001）处理后排放</w:t>
                  </w:r>
                  <w:r>
                    <w:rPr>
                      <w:rFonts w:hint="eastAsia" w:ascii="Times New Roman" w:hAnsi="Times New Roman" w:cs="Times New Roman"/>
                      <w:i w:val="0"/>
                      <w:iCs w:val="0"/>
                      <w:color w:val="auto"/>
                      <w:kern w:val="0"/>
                      <w:sz w:val="21"/>
                      <w:szCs w:val="26"/>
                      <w:u w:val="none"/>
                      <w:lang w:val="en-US" w:eastAsia="zh-CN" w:bidi="ar"/>
                    </w:rPr>
                    <w:t>，破碎废气经集气罩+布袋除尘器</w:t>
                  </w:r>
                  <w:r>
                    <w:rPr>
                      <w:rFonts w:hint="default" w:ascii="Times New Roman" w:hAnsi="Times New Roman" w:cs="Times New Roman"/>
                      <w:i w:val="0"/>
                      <w:iCs w:val="0"/>
                      <w:color w:val="auto"/>
                      <w:kern w:val="0"/>
                      <w:sz w:val="21"/>
                      <w:szCs w:val="26"/>
                      <w:u w:val="none"/>
                      <w:lang w:val="en-US" w:eastAsia="zh-CN" w:bidi="ar"/>
                    </w:rPr>
                    <w:t>+15m高排气筒（DA00</w:t>
                  </w:r>
                  <w:r>
                    <w:rPr>
                      <w:rFonts w:hint="eastAsia" w:ascii="Times New Roman" w:hAnsi="Times New Roman" w:cs="Times New Roman"/>
                      <w:i w:val="0"/>
                      <w:iCs w:val="0"/>
                      <w:color w:val="auto"/>
                      <w:kern w:val="0"/>
                      <w:sz w:val="21"/>
                      <w:szCs w:val="26"/>
                      <w:u w:val="none"/>
                      <w:lang w:val="en-US" w:eastAsia="zh-CN" w:bidi="ar"/>
                    </w:rPr>
                    <w:t>2</w:t>
                  </w:r>
                  <w:r>
                    <w:rPr>
                      <w:rFonts w:hint="default" w:ascii="Times New Roman" w:hAnsi="Times New Roman" w:cs="Times New Roman"/>
                      <w:i w:val="0"/>
                      <w:iCs w:val="0"/>
                      <w:color w:val="auto"/>
                      <w:kern w:val="0"/>
                      <w:sz w:val="21"/>
                      <w:szCs w:val="26"/>
                      <w:u w:val="none"/>
                      <w:lang w:val="en-US" w:eastAsia="zh-CN" w:bidi="ar"/>
                    </w:rPr>
                    <w:t>）处理后排放。本项目各项污染物排放量较小，不会造成现有环境功能降低</w:t>
                  </w:r>
                </w:p>
              </w:tc>
              <w:tc>
                <w:tcPr>
                  <w:tcW w:w="491" w:type="pct"/>
                  <w:vAlign w:val="center"/>
                </w:tcPr>
                <w:p w14:paraId="591DAB7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符合</w:t>
                  </w:r>
                </w:p>
              </w:tc>
            </w:tr>
            <w:tr w14:paraId="3298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shd w:val="clear" w:color="auto" w:fill="auto"/>
                  <w:vAlign w:val="center"/>
                </w:tcPr>
                <w:p w14:paraId="6A70134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3</w:t>
                  </w:r>
                </w:p>
              </w:tc>
              <w:tc>
                <w:tcPr>
                  <w:tcW w:w="2858" w:type="pct"/>
                  <w:vAlign w:val="center"/>
                </w:tcPr>
                <w:p w14:paraId="2409753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优化空间布局，加强生态环境分区管控。落实生态环境分区管控要求，结合长江经济带发展负面清单管控要求及区域资源优势和环境制约因素、园区产业定位等，进一步完善调区规划，优化功能分区和空间布局。合理规划不同功能区的环境保护空间，严禁不符合管控要求的各类开发建设活动，规划实施应加强对蚌埠市龙子湖风景名胜区等敏感目标的保护，不得损害周边水环境、大气环境、声环境、重要生态敏感区的环境质量和生态功能。做好园区工业企业与风景名胜区、居住区等各类环境保护目标的有效隔离和管控，有效预防区域开发带来的邻避效应，保障区域生态环境安全，实现产业发展与区域生态环境保护相协调。</w:t>
                  </w:r>
                </w:p>
              </w:tc>
              <w:tc>
                <w:tcPr>
                  <w:tcW w:w="1272" w:type="pct"/>
                  <w:vAlign w:val="center"/>
                </w:tcPr>
                <w:p w14:paraId="4352C239">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本项目周边最近的敏感点为东侧的龙湖雅苑，约3</w:t>
                  </w:r>
                  <w:r>
                    <w:rPr>
                      <w:rFonts w:hint="eastAsia" w:cs="Times New Roman"/>
                      <w:i w:val="0"/>
                      <w:iCs w:val="0"/>
                      <w:color w:val="auto"/>
                      <w:kern w:val="0"/>
                      <w:sz w:val="21"/>
                      <w:szCs w:val="26"/>
                      <w:u w:val="none"/>
                      <w:lang w:val="en-US" w:eastAsia="zh-CN" w:bidi="ar"/>
                    </w:rPr>
                    <w:t>5</w:t>
                  </w:r>
                  <w:r>
                    <w:rPr>
                      <w:rFonts w:hint="default" w:ascii="Times New Roman" w:hAnsi="Times New Roman" w:cs="Times New Roman"/>
                      <w:i w:val="0"/>
                      <w:iCs w:val="0"/>
                      <w:color w:val="auto"/>
                      <w:kern w:val="0"/>
                      <w:sz w:val="21"/>
                      <w:szCs w:val="26"/>
                      <w:u w:val="none"/>
                      <w:lang w:val="en-US" w:eastAsia="zh-CN" w:bidi="ar"/>
                    </w:rPr>
                    <w:t>m。本项目建成后各项污染物均能达标排放，不会损害周边水环境、大气环境、声环境、重要生态敏感区的环境质量和生态功能</w:t>
                  </w:r>
                </w:p>
              </w:tc>
              <w:tc>
                <w:tcPr>
                  <w:tcW w:w="491" w:type="pct"/>
                  <w:vAlign w:val="center"/>
                </w:tcPr>
                <w:p w14:paraId="45E4A16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符合</w:t>
                  </w:r>
                </w:p>
              </w:tc>
            </w:tr>
            <w:tr w14:paraId="5A5E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shd w:val="clear" w:color="auto" w:fill="auto"/>
                  <w:vAlign w:val="center"/>
                </w:tcPr>
                <w:p w14:paraId="4414F11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4</w:t>
                  </w:r>
                </w:p>
              </w:tc>
              <w:tc>
                <w:tcPr>
                  <w:tcW w:w="2858" w:type="pct"/>
                  <w:vAlign w:val="center"/>
                </w:tcPr>
                <w:p w14:paraId="1C6A175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完善环保基础设施建设，强化环境污染防控。按照科学规划、适度超前的原则，根据主导产业、开发时序和开发强度，进一步优化区域供水、排水、供气、供热等规划方案。园区应加快推进环保基础设施的工程建设，结合区域环境质量现状，细化园区污染防治基础设施建设、排放、运行管理要求及应急处理处置方案。适时启动建设工业污水处理厂，确保受纳水体、下游水环境保护目标及相关考核断面稳定达标。</w:t>
                  </w:r>
                </w:p>
              </w:tc>
              <w:tc>
                <w:tcPr>
                  <w:tcW w:w="1272" w:type="pct"/>
                  <w:vAlign w:val="center"/>
                </w:tcPr>
                <w:p w14:paraId="75D9114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highlight w:val="none"/>
                      <w:u w:val="none"/>
                      <w:lang w:val="en-US" w:eastAsia="zh-CN" w:bidi="ar"/>
                    </w:rPr>
                    <w:t>本项目生活污水经化粪池预处理后</w:t>
                  </w:r>
                  <w:r>
                    <w:rPr>
                      <w:rFonts w:hint="default" w:ascii="Times New Roman" w:hAnsi="Times New Roman" w:cs="Times New Roman"/>
                      <w:i w:val="0"/>
                      <w:iCs w:val="0"/>
                      <w:color w:val="auto"/>
                      <w:kern w:val="0"/>
                      <w:sz w:val="21"/>
                      <w:szCs w:val="26"/>
                      <w:highlight w:val="none"/>
                      <w:u w:val="none"/>
                      <w:lang w:val="en-US" w:eastAsia="zh-CN" w:bidi="ar"/>
                    </w:rPr>
                    <w:t>与循环冷却水一同排进总排口后进入</w:t>
                  </w:r>
                  <w:r>
                    <w:rPr>
                      <w:rFonts w:hint="default" w:ascii="Times New Roman" w:hAnsi="Times New Roman" w:eastAsia="宋体" w:cs="Times New Roman"/>
                      <w:i w:val="0"/>
                      <w:iCs w:val="0"/>
                      <w:color w:val="auto"/>
                      <w:kern w:val="0"/>
                      <w:sz w:val="21"/>
                      <w:szCs w:val="26"/>
                      <w:highlight w:val="none"/>
                      <w:u w:val="none"/>
                      <w:lang w:val="en-US" w:eastAsia="zh-CN" w:bidi="ar"/>
                    </w:rPr>
                    <w:t>市政污水管网，纳入蚌埠市第二污水处理厂处理后</w:t>
                  </w:r>
                  <w:r>
                    <w:rPr>
                      <w:rFonts w:hint="default" w:ascii="Times New Roman" w:hAnsi="Times New Roman" w:cs="Times New Roman"/>
                      <w:i w:val="0"/>
                      <w:iCs w:val="0"/>
                      <w:color w:val="auto"/>
                      <w:kern w:val="0"/>
                      <w:sz w:val="21"/>
                      <w:szCs w:val="26"/>
                      <w:highlight w:val="none"/>
                      <w:u w:val="none"/>
                      <w:lang w:val="en-US" w:eastAsia="zh-CN" w:bidi="ar"/>
                    </w:rPr>
                    <w:t>达标</w:t>
                  </w:r>
                  <w:r>
                    <w:rPr>
                      <w:rFonts w:hint="default" w:ascii="Times New Roman" w:hAnsi="Times New Roman" w:eastAsia="宋体" w:cs="Times New Roman"/>
                      <w:i w:val="0"/>
                      <w:iCs w:val="0"/>
                      <w:color w:val="auto"/>
                      <w:kern w:val="0"/>
                      <w:sz w:val="21"/>
                      <w:szCs w:val="26"/>
                      <w:highlight w:val="none"/>
                      <w:u w:val="none"/>
                      <w:lang w:val="en-US" w:eastAsia="zh-CN" w:bidi="ar"/>
                    </w:rPr>
                    <w:t>排放，排入淮河</w:t>
                  </w:r>
                  <w:r>
                    <w:rPr>
                      <w:rFonts w:hint="default" w:ascii="Times New Roman" w:hAnsi="Times New Roman" w:cs="Times New Roman"/>
                      <w:i w:val="0"/>
                      <w:iCs w:val="0"/>
                      <w:color w:val="auto"/>
                      <w:kern w:val="0"/>
                      <w:sz w:val="21"/>
                      <w:szCs w:val="26"/>
                      <w:highlight w:val="none"/>
                      <w:u w:val="none"/>
                      <w:lang w:val="en-US" w:eastAsia="zh-CN" w:bidi="ar"/>
                    </w:rPr>
                    <w:t>干流蚌埠段</w:t>
                  </w:r>
                  <w:r>
                    <w:rPr>
                      <w:rFonts w:hint="default" w:ascii="Times New Roman" w:hAnsi="Times New Roman" w:eastAsia="宋体" w:cs="Times New Roman"/>
                      <w:i w:val="0"/>
                      <w:iCs w:val="0"/>
                      <w:color w:val="auto"/>
                      <w:kern w:val="0"/>
                      <w:sz w:val="21"/>
                      <w:szCs w:val="26"/>
                      <w:highlight w:val="none"/>
                      <w:u w:val="none"/>
                      <w:lang w:val="en-US" w:eastAsia="zh-CN" w:bidi="ar"/>
                    </w:rPr>
                    <w:t>。</w:t>
                  </w:r>
                </w:p>
              </w:tc>
              <w:tc>
                <w:tcPr>
                  <w:tcW w:w="491" w:type="pct"/>
                  <w:vAlign w:val="center"/>
                </w:tcPr>
                <w:p w14:paraId="187F897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符合</w:t>
                  </w:r>
                </w:p>
              </w:tc>
            </w:tr>
            <w:tr w14:paraId="6F6A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shd w:val="clear" w:color="auto" w:fill="auto"/>
                  <w:vAlign w:val="center"/>
                </w:tcPr>
                <w:p w14:paraId="7B070B2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5</w:t>
                  </w:r>
                </w:p>
              </w:tc>
              <w:tc>
                <w:tcPr>
                  <w:tcW w:w="2858" w:type="pct"/>
                  <w:vAlign w:val="center"/>
                </w:tcPr>
                <w:p w14:paraId="34F5979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细化生态环境准入清单，推动高质量发展。《报告书》应根据规划区域调整，结合主导产业、区域生态环境质量现状、生态环境分区管控、国土空间总体规划和现行生态环境管理要求等，进一步完善园区空间布局管控和产业准入管理。严格执行国家产业政策，严禁不符合淮河流域生态环境保护要求的项目，严格控制与规划主导产业不相关且水、大气污染物排放量大的项目入区。园区引进项目的生产工艺、设备、自动化水平以及单位产品能耗、污染物排放、碳排放等均不低于国内同行业先进水平。</w:t>
                  </w:r>
                </w:p>
              </w:tc>
              <w:tc>
                <w:tcPr>
                  <w:tcW w:w="1272" w:type="pct"/>
                  <w:vAlign w:val="center"/>
                </w:tcPr>
                <w:p w14:paraId="34E64679">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本项目为C2927日用塑料制品制造，</w:t>
                  </w:r>
                  <w:r>
                    <w:rPr>
                      <w:rFonts w:hint="default" w:ascii="Times New Roman" w:hAnsi="Times New Roman" w:cs="Times New Roman"/>
                      <w:i w:val="0"/>
                      <w:iCs w:val="0"/>
                      <w:color w:val="auto"/>
                      <w:kern w:val="0"/>
                      <w:sz w:val="21"/>
                      <w:szCs w:val="26"/>
                      <w:highlight w:val="none"/>
                      <w:u w:val="none"/>
                      <w:lang w:val="en-US" w:eastAsia="zh-CN" w:bidi="ar"/>
                    </w:rPr>
                    <w:t>主要产品为保温容器外壳，属于主导产业中</w:t>
                  </w:r>
                  <w:r>
                    <w:rPr>
                      <w:rFonts w:hint="eastAsia" w:cs="Times New Roman"/>
                      <w:i w:val="0"/>
                      <w:iCs w:val="0"/>
                      <w:color w:val="auto"/>
                      <w:kern w:val="0"/>
                      <w:sz w:val="21"/>
                      <w:szCs w:val="26"/>
                      <w:highlight w:val="none"/>
                      <w:u w:val="none"/>
                      <w:lang w:val="en-US" w:eastAsia="zh-CN" w:bidi="ar"/>
                    </w:rPr>
                    <w:t>“</w:t>
                  </w:r>
                  <w:r>
                    <w:rPr>
                      <w:rFonts w:hint="default" w:ascii="Times New Roman" w:hAnsi="Times New Roman" w:cs="Times New Roman"/>
                      <w:i w:val="0"/>
                      <w:iCs w:val="0"/>
                      <w:color w:val="auto"/>
                      <w:kern w:val="0"/>
                      <w:sz w:val="21"/>
                      <w:szCs w:val="26"/>
                      <w:highlight w:val="none"/>
                      <w:u w:val="none"/>
                      <w:lang w:val="en-US" w:eastAsia="zh-CN" w:bidi="ar"/>
                    </w:rPr>
                    <w:t>相关服务业</w:t>
                  </w:r>
                  <w:r>
                    <w:rPr>
                      <w:rFonts w:hint="eastAsia" w:cs="Times New Roman"/>
                      <w:i w:val="0"/>
                      <w:iCs w:val="0"/>
                      <w:color w:val="auto"/>
                      <w:kern w:val="0"/>
                      <w:sz w:val="21"/>
                      <w:szCs w:val="26"/>
                      <w:highlight w:val="none"/>
                      <w:u w:val="none"/>
                      <w:lang w:val="en-US" w:eastAsia="zh-CN" w:bidi="ar"/>
                    </w:rPr>
                    <w:t>”</w:t>
                  </w:r>
                  <w:r>
                    <w:rPr>
                      <w:rFonts w:hint="default" w:ascii="Times New Roman" w:hAnsi="Times New Roman" w:cs="Times New Roman"/>
                      <w:i w:val="0"/>
                      <w:iCs w:val="0"/>
                      <w:color w:val="auto"/>
                      <w:kern w:val="0"/>
                      <w:sz w:val="21"/>
                      <w:szCs w:val="26"/>
                      <w:highlight w:val="none"/>
                      <w:u w:val="none"/>
                      <w:lang w:val="en-US" w:eastAsia="zh-CN" w:bidi="ar"/>
                    </w:rPr>
                    <w:t>的配套产业。</w:t>
                  </w:r>
                  <w:r>
                    <w:rPr>
                      <w:rFonts w:hint="default" w:ascii="Times New Roman" w:hAnsi="Times New Roman" w:cs="Times New Roman"/>
                      <w:i w:val="0"/>
                      <w:iCs w:val="0"/>
                      <w:color w:val="auto"/>
                      <w:kern w:val="0"/>
                      <w:sz w:val="21"/>
                      <w:szCs w:val="26"/>
                      <w:u w:val="none"/>
                      <w:lang w:val="en-US" w:eastAsia="zh-CN" w:bidi="ar"/>
                    </w:rPr>
                    <w:t>项目采用先进生产工艺和装备，采用相应的污染治理措施，能够确保污染治理设施稳定运行，可以使污染物达标排放。</w:t>
                  </w:r>
                </w:p>
              </w:tc>
              <w:tc>
                <w:tcPr>
                  <w:tcW w:w="491" w:type="pct"/>
                  <w:vAlign w:val="center"/>
                </w:tcPr>
                <w:p w14:paraId="266B813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符合</w:t>
                  </w:r>
                </w:p>
              </w:tc>
            </w:tr>
            <w:tr w14:paraId="47DD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0B1BAD3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6</w:t>
                  </w:r>
                </w:p>
              </w:tc>
              <w:tc>
                <w:tcPr>
                  <w:tcW w:w="2858" w:type="pct"/>
                  <w:vAlign w:val="center"/>
                </w:tcPr>
                <w:p w14:paraId="39F2392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提升环境管理水平，加强生态环境风险防控。着力提升园区环境管理水平，统筹考虑区域内污染物排放、水环境保护、大气环境保护、固体废物（含危险废物）管理、环境风险防范、生态环境管理等要求，健全区域风险防范体系和生态安全保障体系。园区应全面落实环境风险防控，加强园区内重要环境风险源的管控，确保事故废水与外环境有效隔离、及时处置，完善环境风险防范应急措施，按要求编制园区突发环境事件应急预案。建立健全水、气、土等各环境要素的环境监控体系，加强日常环境监管与监测。落实环境风险防控设施建设与运行管理要求及应急处理处置方案。在规划实施过程中，适时开展规划环境影响跟踪评价。结合本规划环评成果，及时更新“区域评估+环境标准”成果，若规划发生重大调整或修订的，应重新或补充进行环境影响评价。</w:t>
                  </w:r>
                </w:p>
              </w:tc>
              <w:tc>
                <w:tcPr>
                  <w:tcW w:w="1272" w:type="pct"/>
                  <w:vAlign w:val="center"/>
                </w:tcPr>
                <w:p w14:paraId="1D5298CD">
                  <w:pPr>
                    <w:keepNext w:val="0"/>
                    <w:keepLines w:val="0"/>
                    <w:widowControl/>
                    <w:suppressLineNumbers w:val="0"/>
                    <w:spacing w:line="240" w:lineRule="auto"/>
                    <w:ind w:firstLine="0" w:firstLineChars="0"/>
                    <w:jc w:val="center"/>
                    <w:textAlignment w:val="center"/>
                    <w:rPr>
                      <w:rFonts w:hint="default" w:ascii="Times New Roman" w:hAnsi="Times New Roman" w:cs="Times New Roman"/>
                      <w:i w:val="0"/>
                      <w:iCs w:val="0"/>
                      <w:color w:val="auto"/>
                      <w:kern w:val="0"/>
                      <w:sz w:val="21"/>
                      <w:szCs w:val="26"/>
                      <w:u w:val="none"/>
                      <w:lang w:val="en-US" w:eastAsia="zh-CN" w:bidi="ar"/>
                    </w:rPr>
                  </w:pPr>
                  <w:r>
                    <w:rPr>
                      <w:rFonts w:hint="default" w:ascii="Times New Roman" w:hAnsi="Times New Roman" w:cs="Times New Roman"/>
                      <w:i w:val="0"/>
                      <w:iCs w:val="0"/>
                      <w:color w:val="auto"/>
                      <w:kern w:val="0"/>
                      <w:sz w:val="21"/>
                      <w:szCs w:val="26"/>
                      <w:u w:val="none"/>
                      <w:lang w:val="en-US" w:eastAsia="zh-CN" w:bidi="ar"/>
                    </w:rPr>
                    <w:t>本项目运营后，定期检查、维护生产设备及环保设备，确保生产设备以及环保设备正</w:t>
                  </w:r>
                  <w:r>
                    <w:rPr>
                      <w:rFonts w:hint="default" w:ascii="Times New Roman" w:hAnsi="Times New Roman" w:cs="Times New Roman"/>
                      <w:i w:val="0"/>
                      <w:iCs w:val="0"/>
                      <w:color w:val="auto"/>
                      <w:kern w:val="0"/>
                      <w:sz w:val="21"/>
                      <w:szCs w:val="26"/>
                      <w:highlight w:val="none"/>
                      <w:u w:val="none"/>
                      <w:lang w:val="en-US" w:eastAsia="zh-CN" w:bidi="ar"/>
                    </w:rPr>
                    <w:t>常运转。</w:t>
                  </w:r>
                  <w:r>
                    <w:rPr>
                      <w:rFonts w:hint="default" w:ascii="Times New Roman" w:hAnsi="Times New Roman" w:cs="Times New Roman"/>
                      <w:i w:val="0"/>
                      <w:iCs w:val="0"/>
                      <w:color w:val="auto"/>
                      <w:kern w:val="0"/>
                      <w:sz w:val="21"/>
                      <w:szCs w:val="26"/>
                      <w:u w:val="none"/>
                      <w:lang w:val="en-US" w:eastAsia="zh-CN" w:bidi="ar"/>
                    </w:rPr>
                    <w:t>及时开展突发环境事件应急预案编制工作，企业应在签署发布环境应急预案之日起20个工作日内向受理备案的县级以上生态环境主管部门备案，并定期开展应急演练。</w:t>
                  </w:r>
                </w:p>
              </w:tc>
              <w:tc>
                <w:tcPr>
                  <w:tcW w:w="491" w:type="pct"/>
                  <w:vAlign w:val="center"/>
                </w:tcPr>
                <w:p w14:paraId="4EE872D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符合</w:t>
                  </w:r>
                </w:p>
              </w:tc>
            </w:tr>
          </w:tbl>
          <w:p w14:paraId="35C61D0C">
            <w:pPr>
              <w:pStyle w:val="82"/>
              <w:rPr>
                <w:rFonts w:hint="default" w:ascii="Times New Roman" w:hAnsi="Times New Roman" w:cs="Times New Roman"/>
                <w:color w:val="auto"/>
              </w:rPr>
            </w:pPr>
            <w:r>
              <w:rPr>
                <w:rFonts w:hint="default" w:ascii="Times New Roman" w:hAnsi="Times New Roman" w:cs="Times New Roman"/>
                <w:color w:val="auto"/>
              </w:rPr>
              <w:t>因此，本项目基本符合蚌埠市高铁工贸园区总体发展规划（2025-2035年）环境影响报告书及审查意见的要求。</w:t>
            </w:r>
          </w:p>
          <w:p w14:paraId="6922A030">
            <w:pPr>
              <w:pStyle w:val="82"/>
              <w:rPr>
                <w:rFonts w:hint="default" w:ascii="Times New Roman" w:hAnsi="Times New Roman" w:cs="Times New Roman"/>
                <w:color w:val="auto"/>
              </w:rPr>
            </w:pPr>
            <w:r>
              <w:rPr>
                <w:rFonts w:hint="default" w:ascii="Times New Roman" w:hAnsi="Times New Roman" w:cs="Times New Roman"/>
                <w:color w:val="auto"/>
              </w:rPr>
              <w:t>3、与《蚌埠市国土空间总体规划（2021—2035年）》符合性分析</w:t>
            </w:r>
          </w:p>
          <w:p w14:paraId="7068432D">
            <w:pPr>
              <w:pStyle w:val="82"/>
              <w:rPr>
                <w:rFonts w:hint="default" w:ascii="Times New Roman" w:hAnsi="Times New Roman" w:cs="Times New Roman"/>
                <w:color w:val="auto"/>
              </w:rPr>
            </w:pPr>
            <w:r>
              <w:rPr>
                <w:rFonts w:hint="default" w:ascii="Times New Roman" w:hAnsi="Times New Roman" w:cs="Times New Roman"/>
                <w:color w:val="auto"/>
              </w:rPr>
              <w:t>（1）耕地和永久基本农田保护红线</w:t>
            </w:r>
          </w:p>
          <w:p w14:paraId="6AE61998">
            <w:pPr>
              <w:pStyle w:val="82"/>
              <w:rPr>
                <w:rFonts w:hint="default" w:ascii="Times New Roman" w:hAnsi="Times New Roman" w:cs="Times New Roman"/>
                <w:color w:val="auto"/>
              </w:rPr>
            </w:pPr>
            <w:r>
              <w:rPr>
                <w:rFonts w:hint="default" w:ascii="Times New Roman" w:hAnsi="Times New Roman" w:cs="Times New Roman"/>
                <w:color w:val="auto"/>
              </w:rPr>
              <w:t>根据《蚌埠市国土空间总体规划（2021—2035年）》，至2035年，耕地保有量不低于3721.07平方千米，占市域面积的62.53%；全市永久基本农田不少于3247.44平方千米；</w:t>
            </w:r>
          </w:p>
          <w:p w14:paraId="1870CCFD">
            <w:pPr>
              <w:pStyle w:val="82"/>
              <w:rPr>
                <w:rFonts w:hint="default" w:ascii="Times New Roman" w:hAnsi="Times New Roman" w:cs="Times New Roman"/>
                <w:color w:val="auto"/>
              </w:rPr>
            </w:pPr>
            <w:r>
              <w:rPr>
                <w:rFonts w:hint="default" w:ascii="Times New Roman" w:hAnsi="Times New Roman" w:cs="Times New Roman"/>
                <w:color w:val="auto"/>
              </w:rPr>
              <w:t>（2）生态保护红线</w:t>
            </w:r>
          </w:p>
          <w:p w14:paraId="3A74C79F">
            <w:pPr>
              <w:pStyle w:val="82"/>
              <w:rPr>
                <w:rFonts w:hint="default" w:ascii="Times New Roman" w:hAnsi="Times New Roman" w:cs="Times New Roman"/>
                <w:color w:val="auto"/>
              </w:rPr>
            </w:pPr>
            <w:r>
              <w:rPr>
                <w:rFonts w:hint="default" w:ascii="Times New Roman" w:hAnsi="Times New Roman" w:cs="Times New Roman"/>
                <w:color w:val="auto"/>
              </w:rPr>
              <w:t>至2035年，生态保护红线面积不少于242.66平方千米，占市域面积的4.08%。</w:t>
            </w:r>
          </w:p>
          <w:p w14:paraId="2D1B0411">
            <w:pPr>
              <w:pStyle w:val="82"/>
              <w:rPr>
                <w:rFonts w:hint="default" w:ascii="Times New Roman" w:hAnsi="Times New Roman" w:cs="Times New Roman"/>
                <w:color w:val="auto"/>
              </w:rPr>
            </w:pPr>
            <w:r>
              <w:rPr>
                <w:rFonts w:hint="default" w:ascii="Times New Roman" w:hAnsi="Times New Roman" w:cs="Times New Roman"/>
                <w:color w:val="auto"/>
              </w:rPr>
              <w:t>（3）城市开发边界</w:t>
            </w:r>
          </w:p>
          <w:p w14:paraId="0077C9D6">
            <w:pPr>
              <w:pStyle w:val="82"/>
              <w:rPr>
                <w:rFonts w:hint="default" w:ascii="Times New Roman" w:hAnsi="Times New Roman" w:cs="Times New Roman"/>
                <w:color w:val="auto"/>
              </w:rPr>
            </w:pPr>
            <w:r>
              <w:rPr>
                <w:rFonts w:hint="default" w:ascii="Times New Roman" w:hAnsi="Times New Roman" w:cs="Times New Roman"/>
                <w:color w:val="auto"/>
              </w:rPr>
              <w:t>至2035年，全市划定城镇开发边界面积不超过389.18平方千米，占市域面积的6.54%。</w:t>
            </w:r>
          </w:p>
          <w:p w14:paraId="0E86B910">
            <w:pPr>
              <w:pStyle w:val="82"/>
              <w:rPr>
                <w:rFonts w:hint="default" w:ascii="Times New Roman" w:hAnsi="Times New Roman" w:cs="Times New Roman"/>
                <w:color w:val="auto"/>
              </w:rPr>
            </w:pPr>
            <w:r>
              <w:rPr>
                <w:rFonts w:hint="default" w:ascii="Times New Roman" w:hAnsi="Times New Roman" w:cs="Times New Roman"/>
                <w:color w:val="auto"/>
              </w:rPr>
              <w:t>蚌埠市有3处自然保护区、3处自然公园、2处风景名胜区，其中距离本项目最近的自然保护地为龙子湖风景名胜区，距本项目直线距离为5200m，不在生态环境保护区范围内。</w:t>
            </w:r>
          </w:p>
          <w:p w14:paraId="617655A1">
            <w:pPr>
              <w:pStyle w:val="82"/>
              <w:rPr>
                <w:rFonts w:hint="default" w:ascii="Times New Roman" w:hAnsi="Times New Roman" w:cs="Times New Roman"/>
                <w:color w:val="auto"/>
              </w:rPr>
            </w:pPr>
            <w:r>
              <w:rPr>
                <w:rFonts w:hint="default" w:ascii="Times New Roman" w:hAnsi="Times New Roman" w:cs="Times New Roman"/>
                <w:color w:val="auto"/>
              </w:rPr>
              <w:t>《蚌埠市国土空间总体规划（2021-2035年）》提出至2035年，中心城区形成“三横三纵二联”快速网络。</w:t>
            </w:r>
          </w:p>
          <w:p w14:paraId="13BFFD63">
            <w:pPr>
              <w:pStyle w:val="82"/>
              <w:rPr>
                <w:rFonts w:hint="default" w:ascii="Times New Roman" w:hAnsi="Times New Roman" w:cs="Times New Roman"/>
                <w:color w:val="auto"/>
              </w:rPr>
            </w:pPr>
            <w:r>
              <w:rPr>
                <w:rFonts w:hint="default" w:ascii="Times New Roman" w:hAnsi="Times New Roman" w:cs="Times New Roman"/>
                <w:color w:val="auto"/>
              </w:rPr>
              <w:t>将蚌埠市建设为全国性综合交通枢纽，淮河生态经济带中心城市和皖北地区中心城市，宜居宜业宜游的现代化山水城市。规划要求优化城市交通网络，构建“七横七纵”结构性主干路网，完善次干路网络，加密支路系统。</w:t>
            </w:r>
          </w:p>
          <w:p w14:paraId="47686C5F">
            <w:pPr>
              <w:pStyle w:val="82"/>
              <w:rPr>
                <w:rFonts w:hint="default" w:ascii="Times New Roman" w:hAnsi="Times New Roman" w:cs="Times New Roman"/>
                <w:color w:val="auto"/>
              </w:rPr>
            </w:pPr>
            <w:r>
              <w:rPr>
                <w:rFonts w:hint="default" w:ascii="Times New Roman" w:hAnsi="Times New Roman" w:cs="Times New Roman"/>
                <w:color w:val="auto"/>
              </w:rPr>
              <w:t>三横:为淝河快速路、东海大道、南外环快速路。</w:t>
            </w:r>
          </w:p>
          <w:p w14:paraId="0C125534">
            <w:pPr>
              <w:pStyle w:val="82"/>
              <w:rPr>
                <w:rFonts w:hint="default" w:ascii="Times New Roman" w:hAnsi="Times New Roman" w:cs="Times New Roman"/>
                <w:color w:val="auto"/>
              </w:rPr>
            </w:pPr>
            <w:r>
              <w:rPr>
                <w:rFonts w:hint="default" w:ascii="Times New Roman" w:hAnsi="Times New Roman" w:cs="Times New Roman"/>
                <w:color w:val="auto"/>
              </w:rPr>
              <w:t>三纵:为大庆路、解放路、老山快速路。</w:t>
            </w:r>
          </w:p>
          <w:p w14:paraId="365B5374">
            <w:pPr>
              <w:pStyle w:val="82"/>
              <w:rPr>
                <w:rFonts w:hint="default" w:ascii="Times New Roman" w:hAnsi="Times New Roman" w:cs="Times New Roman"/>
                <w:color w:val="auto"/>
              </w:rPr>
            </w:pPr>
            <w:r>
              <w:rPr>
                <w:rFonts w:hint="default" w:ascii="Times New Roman" w:hAnsi="Times New Roman" w:cs="Times New Roman"/>
                <w:color w:val="auto"/>
              </w:rPr>
              <w:t>二联:为长淮卫快速路、迎宾大道。</w:t>
            </w:r>
          </w:p>
          <w:p w14:paraId="689D5F62">
            <w:pPr>
              <w:pStyle w:val="82"/>
              <w:rPr>
                <w:rFonts w:hint="default" w:ascii="Times New Roman" w:hAnsi="Times New Roman" w:cs="Times New Roman"/>
                <w:color w:val="auto"/>
              </w:rPr>
            </w:pPr>
            <w:r>
              <w:rPr>
                <w:rFonts w:hint="default" w:ascii="Times New Roman" w:hAnsi="Times New Roman" w:cs="Times New Roman"/>
                <w:color w:val="auto"/>
              </w:rPr>
              <w:t>构建“七横七纵”的主干路网布局，完善次干路网络，加密支路系统。</w:t>
            </w:r>
          </w:p>
          <w:p w14:paraId="78610F0F">
            <w:pPr>
              <w:pStyle w:val="82"/>
              <w:rPr>
                <w:rFonts w:hint="default" w:ascii="Times New Roman" w:hAnsi="Times New Roman" w:cs="Times New Roman"/>
                <w:color w:val="auto"/>
              </w:rPr>
            </w:pPr>
            <w:r>
              <w:rPr>
                <w:rFonts w:hint="default" w:ascii="Times New Roman" w:hAnsi="Times New Roman" w:cs="Times New Roman"/>
                <w:color w:val="auto"/>
              </w:rPr>
              <w:t>“七横”：龙华路、淮上大道、治淮路、胜利路、涂山路、燕山路－学苑路、黄山大道；</w:t>
            </w:r>
          </w:p>
          <w:p w14:paraId="3E8BB832">
            <w:pPr>
              <w:pStyle w:val="82"/>
              <w:rPr>
                <w:rFonts w:hint="default" w:ascii="Times New Roman" w:hAnsi="Times New Roman" w:cs="Times New Roman"/>
                <w:color w:val="auto"/>
              </w:rPr>
            </w:pPr>
            <w:r>
              <w:rPr>
                <w:rFonts w:hint="default" w:ascii="Times New Roman" w:hAnsi="Times New Roman" w:cs="Times New Roman"/>
                <w:color w:val="auto"/>
              </w:rPr>
              <w:t>“七纵”：黑虎山路－秦集路、江淮路－天河路、华光大道－长征南路、朝阳路、延安路、曹山路、司马庄路－高铁东路。</w:t>
            </w:r>
          </w:p>
          <w:p w14:paraId="69387188">
            <w:pPr>
              <w:pStyle w:val="82"/>
              <w:rPr>
                <w:rFonts w:hint="default" w:ascii="Times New Roman" w:hAnsi="Times New Roman" w:cs="Times New Roman"/>
                <w:color w:val="auto"/>
              </w:rPr>
            </w:pPr>
            <w:r>
              <w:rPr>
                <w:rFonts w:hint="default" w:ascii="Times New Roman" w:hAnsi="Times New Roman" w:cs="Times New Roman"/>
                <w:color w:val="auto"/>
              </w:rPr>
              <w:t>本项目位于</w:t>
            </w:r>
            <w:r>
              <w:rPr>
                <w:rFonts w:hint="default" w:ascii="Times New Roman" w:hAnsi="Times New Roman" w:eastAsia="宋体" w:cs="Times New Roman"/>
                <w:b w:val="0"/>
                <w:bCs w:val="0"/>
                <w:color w:val="auto"/>
                <w:sz w:val="24"/>
              </w:rPr>
              <w:t>安徽省</w:t>
            </w:r>
            <w:r>
              <w:rPr>
                <w:rFonts w:hint="default" w:ascii="Times New Roman" w:hAnsi="Times New Roman" w:cs="Times New Roman"/>
                <w:b w:val="0"/>
                <w:bCs w:val="0"/>
                <w:color w:val="auto"/>
                <w:sz w:val="24"/>
                <w:lang w:eastAsia="zh-CN"/>
              </w:rPr>
              <w:t>安徽省蚌埠市龙子湖区李楼乡胜利东路199号（厂区东片）</w:t>
            </w:r>
            <w:r>
              <w:rPr>
                <w:rFonts w:hint="default" w:ascii="Times New Roman" w:hAnsi="Times New Roman" w:eastAsia="宋体" w:cs="Times New Roman"/>
                <w:b w:val="0"/>
                <w:bCs w:val="0"/>
                <w:color w:val="auto"/>
                <w:sz w:val="24"/>
              </w:rPr>
              <w:t>，</w:t>
            </w:r>
            <w:r>
              <w:rPr>
                <w:rFonts w:hint="default" w:ascii="Times New Roman" w:hAnsi="Times New Roman" w:eastAsia="宋体" w:cs="Times New Roman"/>
                <w:b w:val="0"/>
                <w:bCs w:val="0"/>
                <w:color w:val="auto"/>
                <w:sz w:val="24"/>
                <w:highlight w:val="none"/>
                <w:lang w:eastAsia="zh-CN"/>
              </w:rPr>
              <w:t>项目租赁</w:t>
            </w:r>
            <w:r>
              <w:rPr>
                <w:rFonts w:hint="default" w:ascii="Times New Roman" w:hAnsi="Times New Roman" w:eastAsia="宋体" w:cs="Times New Roman"/>
                <w:color w:val="auto"/>
                <w:highlight w:val="none"/>
                <w:lang w:val="en-US" w:eastAsia="zh-CN"/>
              </w:rPr>
              <w:t>蚌埠金大地保温器皿有限公司厂房，</w:t>
            </w:r>
            <w:r>
              <w:rPr>
                <w:rFonts w:hint="default" w:ascii="Times New Roman" w:hAnsi="Times New Roman" w:cs="Times New Roman"/>
                <w:color w:val="auto"/>
                <w:highlight w:val="none"/>
              </w:rPr>
              <w:t>不涉及新增占地，用地性质为</w:t>
            </w:r>
            <w:r>
              <w:rPr>
                <w:rFonts w:hint="default" w:ascii="Times New Roman" w:hAnsi="Times New Roman" w:cs="Times New Roman"/>
                <w:color w:val="auto"/>
                <w:highlight w:val="none"/>
                <w:lang w:eastAsia="zh-CN"/>
              </w:rPr>
              <w:t>工业</w:t>
            </w:r>
            <w:r>
              <w:rPr>
                <w:rFonts w:hint="default" w:ascii="Times New Roman" w:hAnsi="Times New Roman" w:cs="Times New Roman"/>
                <w:color w:val="auto"/>
                <w:highlight w:val="none"/>
              </w:rPr>
              <w:t>用地，</w:t>
            </w:r>
            <w:r>
              <w:rPr>
                <w:rFonts w:hint="default" w:ascii="Times New Roman" w:hAnsi="Times New Roman" w:cs="Times New Roman"/>
                <w:color w:val="auto"/>
              </w:rPr>
              <w:t>满足土地资源利用上限及分区管控要求。因此，本次项目符合《蚌埠市国土空间总体规划（2021~2035年）》中城市性质定位。</w:t>
            </w:r>
          </w:p>
          <w:p w14:paraId="5A6BF583">
            <w:pPr>
              <w:pStyle w:val="82"/>
              <w:rPr>
                <w:rFonts w:hint="default" w:ascii="Times New Roman" w:hAnsi="Times New Roman" w:cs="Times New Roman"/>
                <w:color w:val="auto"/>
              </w:rPr>
            </w:pPr>
          </w:p>
        </w:tc>
      </w:tr>
      <w:tr w14:paraId="5C411F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12" w:type="pct"/>
            <w:shd w:val="clear" w:color="auto" w:fill="auto"/>
            <w:vAlign w:val="center"/>
          </w:tcPr>
          <w:p w14:paraId="74472131">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kern w:val="0"/>
                <w:sz w:val="24"/>
                <w:szCs w:val="21"/>
                <w:lang w:val="en-US" w:eastAsia="zh-CN" w:bidi="ar-SA"/>
              </w:rPr>
            </w:pPr>
            <w:r>
              <w:rPr>
                <w:rFonts w:hint="default" w:ascii="Times New Roman" w:hAnsi="Times New Roman" w:cs="Times New Roman"/>
                <w:color w:val="auto"/>
                <w:kern w:val="0"/>
                <w:szCs w:val="21"/>
              </w:rPr>
              <w:t>其他符合性分析</w:t>
            </w:r>
          </w:p>
        </w:tc>
        <w:tc>
          <w:tcPr>
            <w:tcW w:w="4687" w:type="pct"/>
            <w:gridSpan w:val="4"/>
            <w:shd w:val="clear" w:color="auto" w:fill="auto"/>
            <w:vAlign w:val="center"/>
          </w:tcPr>
          <w:p w14:paraId="4CEF4CAF">
            <w:pPr>
              <w:spacing w:line="360" w:lineRule="auto"/>
              <w:ind w:firstLine="482" w:firstLineChars="200"/>
              <w:rPr>
                <w:rFonts w:hint="default" w:ascii="Times New Roman" w:hAnsi="Times New Roman" w:eastAsia="宋体" w:cs="Times New Roman"/>
                <w:b/>
                <w:color w:val="auto"/>
                <w:sz w:val="24"/>
              </w:rPr>
            </w:pPr>
            <w:r>
              <w:rPr>
                <w:rFonts w:hint="default" w:ascii="Times New Roman" w:hAnsi="Times New Roman" w:cs="Times New Roman"/>
                <w:b/>
                <w:color w:val="auto"/>
                <w:sz w:val="24"/>
                <w:lang w:val="en-US" w:eastAsia="zh-CN"/>
              </w:rPr>
              <w:t>1、</w:t>
            </w:r>
            <w:r>
              <w:rPr>
                <w:rFonts w:hint="default" w:ascii="Times New Roman" w:hAnsi="Times New Roman" w:eastAsia="宋体" w:cs="Times New Roman"/>
                <w:b/>
                <w:color w:val="auto"/>
                <w:sz w:val="24"/>
              </w:rPr>
              <w:t>产业政策符合性分析</w:t>
            </w:r>
          </w:p>
          <w:p w14:paraId="430DA69C">
            <w:pPr>
              <w:keepNext w:val="0"/>
              <w:keepLines w:val="0"/>
              <w:pageBreakBefore w:val="0"/>
              <w:widowControl w:val="0"/>
              <w:kinsoku/>
              <w:wordWrap w:val="0"/>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根据《国民经济行业分类》（GB/T4754-2017）及其2019年修改单，本项目行业类别属于</w:t>
            </w:r>
            <w:r>
              <w:rPr>
                <w:rFonts w:hint="default" w:ascii="Times New Roman" w:hAnsi="Times New Roman" w:cs="Times New Roman"/>
                <w:bCs/>
                <w:color w:val="auto"/>
                <w:szCs w:val="21"/>
                <w:lang w:val="en-US" w:eastAsia="zh-CN"/>
              </w:rPr>
              <w:t>C2927日用塑料制品制造</w:t>
            </w:r>
            <w:r>
              <w:rPr>
                <w:rFonts w:hint="default" w:ascii="Times New Roman" w:hAnsi="Times New Roman" w:eastAsia="宋体" w:cs="Times New Roman"/>
                <w:color w:val="auto"/>
                <w:kern w:val="2"/>
                <w:sz w:val="24"/>
                <w:szCs w:val="24"/>
                <w:lang w:val="en-US" w:eastAsia="zh-CN" w:bidi="ar-SA"/>
              </w:rPr>
              <w:t>，对照《产业结构调整指导目录（2024年本）》，本项目“</w:t>
            </w:r>
            <w:r>
              <w:rPr>
                <w:rFonts w:hint="default" w:ascii="Times New Roman" w:hAnsi="Times New Roman" w:cs="Times New Roman"/>
                <w:bCs/>
                <w:color w:val="auto"/>
                <w:szCs w:val="21"/>
                <w:lang w:val="en-US" w:eastAsia="zh-CN"/>
              </w:rPr>
              <w:t>C2927日用塑料制品制造</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sz w:val="24"/>
                <w:szCs w:val="24"/>
                <w:highlight w:val="none"/>
                <w:lang w:val="en-US" w:eastAsia="zh-CN"/>
              </w:rPr>
              <w:t>不属于限制和禁止的产业，视为允许类</w:t>
            </w:r>
            <w:r>
              <w:rPr>
                <w:rFonts w:hint="default" w:ascii="Times New Roman" w:hAnsi="Times New Roman" w:eastAsia="宋体" w:cs="Times New Roman"/>
                <w:color w:val="auto"/>
                <w:kern w:val="2"/>
                <w:sz w:val="24"/>
                <w:szCs w:val="24"/>
                <w:lang w:val="en-US" w:eastAsia="zh-CN" w:bidi="ar-SA"/>
              </w:rPr>
              <w:t>。同时本项目已取得</w:t>
            </w:r>
            <w:r>
              <w:rPr>
                <w:rFonts w:hint="default" w:ascii="Times New Roman" w:hAnsi="Times New Roman" w:cs="Times New Roman"/>
                <w:color w:val="auto"/>
                <w:kern w:val="2"/>
                <w:sz w:val="24"/>
                <w:szCs w:val="24"/>
                <w:lang w:val="en-US" w:eastAsia="zh-CN" w:bidi="ar-SA"/>
              </w:rPr>
              <w:t>龙子湖区发展和改革委员会</w:t>
            </w:r>
            <w:r>
              <w:rPr>
                <w:rFonts w:hint="default" w:ascii="Times New Roman" w:hAnsi="Times New Roman" w:eastAsia="宋体" w:cs="Times New Roman"/>
                <w:color w:val="auto"/>
                <w:kern w:val="2"/>
                <w:sz w:val="24"/>
                <w:szCs w:val="24"/>
                <w:lang w:val="en-US" w:eastAsia="zh-CN" w:bidi="ar-SA"/>
              </w:rPr>
              <w:t>备案，项目代码为</w:t>
            </w:r>
            <w:r>
              <w:rPr>
                <w:rFonts w:hint="default" w:ascii="Times New Roman" w:hAnsi="Times New Roman" w:eastAsia="宋体" w:cs="Times New Roman"/>
                <w:color w:val="auto"/>
              </w:rPr>
              <w:t>2509-340302-04-01-408800</w:t>
            </w:r>
            <w:r>
              <w:rPr>
                <w:rFonts w:hint="default" w:ascii="Times New Roman" w:hAnsi="Times New Roman" w:eastAsia="宋体" w:cs="Times New Roman"/>
                <w:color w:val="auto"/>
                <w:kern w:val="2"/>
                <w:sz w:val="24"/>
                <w:szCs w:val="24"/>
                <w:lang w:val="en-US" w:eastAsia="zh-CN" w:bidi="ar-SA"/>
              </w:rPr>
              <w:t>。</w:t>
            </w:r>
          </w:p>
          <w:p w14:paraId="59C19352">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因此，本项目的建设符合国家和地方相关产业政策的要求。</w:t>
            </w:r>
          </w:p>
          <w:p w14:paraId="4628B213">
            <w:pPr>
              <w:spacing w:line="360" w:lineRule="auto"/>
              <w:ind w:firstLine="482" w:firstLineChars="200"/>
              <w:rPr>
                <w:rFonts w:hint="default" w:ascii="Times New Roman" w:hAnsi="Times New Roman" w:eastAsia="宋体" w:cs="Times New Roman"/>
                <w:b/>
                <w:color w:val="auto"/>
                <w:sz w:val="24"/>
              </w:rPr>
            </w:pPr>
            <w:r>
              <w:rPr>
                <w:rFonts w:hint="default" w:ascii="Times New Roman" w:hAnsi="Times New Roman" w:cs="Times New Roman"/>
                <w:b/>
                <w:color w:val="auto"/>
                <w:sz w:val="24"/>
                <w:lang w:val="en-US" w:eastAsia="zh-CN"/>
              </w:rPr>
              <w:t>2、</w:t>
            </w:r>
            <w:r>
              <w:rPr>
                <w:rFonts w:hint="default" w:ascii="Times New Roman" w:hAnsi="Times New Roman" w:eastAsia="宋体" w:cs="Times New Roman"/>
                <w:b/>
                <w:color w:val="auto"/>
                <w:sz w:val="24"/>
                <w:highlight w:val="none"/>
              </w:rPr>
              <w:t>用地符合性分析</w:t>
            </w:r>
          </w:p>
          <w:p w14:paraId="6EE13ED8">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highlight w:val="none"/>
              </w:rPr>
              <w:t>本项目位于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cs="Times New Roman"/>
                <w:color w:val="auto"/>
                <w:highlight w:val="none"/>
              </w:rPr>
              <w:t>，</w:t>
            </w:r>
            <w:r>
              <w:rPr>
                <w:rFonts w:hint="default" w:ascii="Times New Roman" w:hAnsi="Times New Roman" w:eastAsia="宋体" w:cs="Times New Roman"/>
                <w:color w:val="auto"/>
                <w:highlight w:val="none"/>
                <w:lang w:val="en-US" w:eastAsia="zh-CN"/>
              </w:rPr>
              <w:t>租赁蚌埠金大地保温器皿有限公司厂房</w:t>
            </w:r>
            <w:r>
              <w:rPr>
                <w:rFonts w:hint="default" w:ascii="Times New Roman" w:hAnsi="Times New Roman" w:cs="Times New Roman"/>
                <w:color w:val="auto"/>
                <w:lang w:val="en-US" w:eastAsia="zh-CN"/>
              </w:rPr>
              <w:t>，</w:t>
            </w:r>
            <w:r>
              <w:rPr>
                <w:rFonts w:hint="default" w:ascii="Times New Roman" w:hAnsi="Times New Roman" w:eastAsia="宋体" w:cs="Times New Roman"/>
                <w:color w:val="auto"/>
                <w:lang w:val="en-US" w:eastAsia="zh-CN"/>
              </w:rPr>
              <w:t>建设</w:t>
            </w:r>
            <w:r>
              <w:rPr>
                <w:rFonts w:hint="default" w:ascii="Times New Roman" w:hAnsi="Times New Roman" w:cs="Times New Roman"/>
                <w:color w:val="auto"/>
                <w:lang w:val="en-US" w:eastAsia="zh-CN"/>
              </w:rPr>
              <w:t>年产300万只保温容器外壳项目</w:t>
            </w:r>
            <w:r>
              <w:rPr>
                <w:rFonts w:hint="default" w:ascii="Times New Roman" w:hAnsi="Times New Roman" w:cs="Times New Roman"/>
                <w:color w:val="auto"/>
                <w:kern w:val="2"/>
                <w:sz w:val="24"/>
                <w:szCs w:val="24"/>
                <w:highlight w:val="none"/>
                <w:lang w:val="en-US" w:eastAsia="zh-CN" w:bidi="ar-SA"/>
              </w:rPr>
              <w:t>，</w:t>
            </w:r>
            <w:r>
              <w:rPr>
                <w:rFonts w:hint="default" w:ascii="Times New Roman" w:hAnsi="Times New Roman" w:cs="Times New Roman"/>
                <w:color w:val="auto"/>
                <w:highlight w:val="none"/>
              </w:rPr>
              <w:t>属于工业用地，</w:t>
            </w:r>
            <w:r>
              <w:rPr>
                <w:rFonts w:hint="default" w:ascii="Times New Roman" w:hAnsi="Times New Roman" w:eastAsia="宋体" w:cs="Times New Roman"/>
                <w:color w:val="auto"/>
                <w:kern w:val="2"/>
                <w:sz w:val="24"/>
                <w:szCs w:val="24"/>
                <w:lang w:val="en-US" w:eastAsia="zh-CN" w:bidi="ar-SA"/>
              </w:rPr>
              <w:t>用地布局符合规划。根据工程分析，本项目各项污染物能得到有效的处理，各项污染物在可控范围之内，对周围环境影响较小。因此项目选址合理。</w:t>
            </w:r>
          </w:p>
          <w:p w14:paraId="28178DDA">
            <w:pPr>
              <w:spacing w:line="360" w:lineRule="auto"/>
              <w:ind w:firstLine="482" w:firstLineChars="20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3、与蚌埠市生态环境分区管控成果相符性分析</w:t>
            </w:r>
          </w:p>
          <w:p w14:paraId="0C3AA2F7">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2016年10月26日，环境保护部以环评发布《关于以改善环境质量为核心加强环境影响评价管理的通知》（以下简称“通知”），通知中明确应强化“三线一单”（即生态保护红线、环境质量底线、资源利用上线和环境准入负面清单）的约束作用。</w:t>
            </w:r>
          </w:p>
          <w:p w14:paraId="739D4C8B">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表1-3  “三线一单”符合性分析</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4025"/>
              <w:gridCol w:w="2819"/>
            </w:tblGrid>
            <w:tr w14:paraId="4B80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475" w:type="pct"/>
                  <w:noWrap w:val="0"/>
                  <w:vAlign w:val="center"/>
                </w:tcPr>
                <w:p w14:paraId="64387E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2660" w:type="pct"/>
                  <w:noWrap w:val="0"/>
                  <w:vAlign w:val="center"/>
                </w:tcPr>
                <w:p w14:paraId="011F31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文件要求</w:t>
                  </w:r>
                </w:p>
              </w:tc>
              <w:tc>
                <w:tcPr>
                  <w:tcW w:w="1863" w:type="pct"/>
                  <w:noWrap w:val="0"/>
                  <w:vAlign w:val="center"/>
                </w:tcPr>
                <w:p w14:paraId="103925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相符性</w:t>
                  </w:r>
                </w:p>
              </w:tc>
            </w:tr>
            <w:tr w14:paraId="2E76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pct"/>
                  <w:noWrap w:val="0"/>
                  <w:vAlign w:val="center"/>
                </w:tcPr>
                <w:p w14:paraId="7DE599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w:t>
                  </w:r>
                </w:p>
              </w:tc>
              <w:tc>
                <w:tcPr>
                  <w:tcW w:w="2660" w:type="pct"/>
                  <w:noWrap w:val="0"/>
                  <w:vAlign w:val="center"/>
                </w:tcPr>
                <w:p w14:paraId="41948F5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生态保护红线是生态空间范围内具有特殊重要生态功能必须实行强制性严格保护的区域。相关规划环评应将生态空间管控作为重要内容，规划区域涉及生态保护红线的，在规划环评结论和审查意见中应落实生态保护红线的管理要求，提出相应对策措施。除受自然条件限制、确实无法避让的铁路、公路、航道、防洪、管道、干渠、通讯、输变电等重要基础设施项目外，在生态保护红线范围内，严控各类开发建设活动，依法不予审批新建工业项目和矿产开发项目的环评文件。</w:t>
                  </w:r>
                </w:p>
              </w:tc>
              <w:tc>
                <w:tcPr>
                  <w:tcW w:w="1863" w:type="pct"/>
                  <w:noWrap w:val="0"/>
                  <w:vAlign w:val="center"/>
                </w:tcPr>
                <w:p w14:paraId="4E572B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与蚌埠市生态保护红线的对照分析结果显示本项目位于</w:t>
                  </w:r>
                  <w:r>
                    <w:rPr>
                      <w:rFonts w:hint="default" w:ascii="Times New Roman" w:hAnsi="Times New Roman" w:cs="Times New Roman"/>
                      <w:i w:val="0"/>
                      <w:iCs w:val="0"/>
                      <w:color w:val="auto"/>
                      <w:kern w:val="0"/>
                      <w:sz w:val="21"/>
                      <w:szCs w:val="21"/>
                      <w:u w:val="none"/>
                      <w:lang w:val="en-US" w:eastAsia="zh-CN" w:bidi="ar"/>
                    </w:rPr>
                    <w:t>安徽省蚌埠市龙子湖区李楼乡胜利东路199号（厂区东片）</w:t>
                  </w:r>
                  <w:r>
                    <w:rPr>
                      <w:rFonts w:hint="default" w:ascii="Times New Roman" w:hAnsi="Times New Roman" w:eastAsia="宋体" w:cs="Times New Roman"/>
                      <w:i w:val="0"/>
                      <w:iCs w:val="0"/>
                      <w:color w:val="auto"/>
                      <w:kern w:val="0"/>
                      <w:sz w:val="21"/>
                      <w:szCs w:val="21"/>
                      <w:u w:val="none"/>
                      <w:lang w:val="en-US" w:eastAsia="zh-CN" w:bidi="ar"/>
                    </w:rPr>
                    <w:t>，厂区周边无自然保护区、饮用水源保护区等生态保护目标，符合生态保护红线要求。</w:t>
                  </w:r>
                </w:p>
              </w:tc>
            </w:tr>
            <w:tr w14:paraId="2BD0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pct"/>
                  <w:noWrap w:val="0"/>
                  <w:vAlign w:val="center"/>
                </w:tcPr>
                <w:p w14:paraId="561ABA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w:t>
                  </w:r>
                </w:p>
              </w:tc>
              <w:tc>
                <w:tcPr>
                  <w:tcW w:w="2660" w:type="pct"/>
                  <w:noWrap w:val="0"/>
                  <w:vAlign w:val="center"/>
                </w:tcPr>
                <w:p w14:paraId="3C83DD0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质量底线是国家和地方设置的大气、水和土壤环境质量目标，也是改善环境质量的基准线。有关规划环评应落实区域环境质量目标管理要求，提出区域或者行业污染物排放总量管控建议以及优化区域或行业发展布局、结构和规模的对策措施。项目环评应对照区域环境质量目标，深入分析预测项目建设对环境质量的影响，强化污染防治措施和污染物排放控制要求。</w:t>
                  </w:r>
                </w:p>
              </w:tc>
              <w:tc>
                <w:tcPr>
                  <w:tcW w:w="1863" w:type="pct"/>
                  <w:noWrap w:val="0"/>
                  <w:vAlign w:val="center"/>
                </w:tcPr>
                <w:p w14:paraId="61CE7C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区域地表水环境、大气环境、声环境、地下水环境质量、土壤环境能够满足相应的标准要求，项目产生的各类污染物均能得到妥善处理，对周围环境影响很小，环境质量可以保持现有水平，符合环境质量底线要求。</w:t>
                  </w:r>
                </w:p>
              </w:tc>
            </w:tr>
            <w:tr w14:paraId="3967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75" w:type="pct"/>
                  <w:noWrap w:val="0"/>
                  <w:vAlign w:val="center"/>
                </w:tcPr>
                <w:p w14:paraId="0FF7D2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w:t>
                  </w:r>
                </w:p>
              </w:tc>
              <w:tc>
                <w:tcPr>
                  <w:tcW w:w="2660" w:type="pct"/>
                  <w:noWrap w:val="0"/>
                  <w:vAlign w:val="center"/>
                </w:tcPr>
                <w:p w14:paraId="613245C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资源是环境的载体，资源利用上线是各地区能源、水、土地等资源不得突破的“天花板”。相关规划环评应依据有关资源利用上线，对规划实施以及规划内项目的资源开发利用，区分不同行业，从资源能源开发等量或减量替代、开采方式和规模控制、利用效率和保护措施等方面提出建议，为规划编制和审批决策提出重要依据。</w:t>
                  </w:r>
                </w:p>
              </w:tc>
              <w:tc>
                <w:tcPr>
                  <w:tcW w:w="1863" w:type="pct"/>
                  <w:noWrap w:val="0"/>
                  <w:vAlign w:val="center"/>
                </w:tcPr>
                <w:p w14:paraId="1253499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拟建项目不自建燃煤锅炉。采用较先进的工艺技术、设备，制定有效的节能管理制度，综合能耗低。</w:t>
                  </w:r>
                </w:p>
              </w:tc>
            </w:tr>
            <w:tr w14:paraId="1529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pct"/>
                  <w:noWrap w:val="0"/>
                  <w:vAlign w:val="center"/>
                </w:tcPr>
                <w:p w14:paraId="4E75B0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w:t>
                  </w:r>
                </w:p>
              </w:tc>
              <w:tc>
                <w:tcPr>
                  <w:tcW w:w="2660" w:type="pct"/>
                  <w:noWrap w:val="0"/>
                  <w:vAlign w:val="center"/>
                </w:tcPr>
                <w:p w14:paraId="325AE3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准入负面清单是基于生态保护红线、环境质量底线和资源利用上线，以清单方式列出的禁止、限制等差别化环境准入条件和要求。要在规划环评清单式管理试点的基础上，从布局选址、资源利用效率、资源配置方式等方面入手，制定环境准入负面清单，充分发挥负面清单对产业发展和项目准入的指导和约束作用。</w:t>
                  </w:r>
                </w:p>
              </w:tc>
              <w:tc>
                <w:tcPr>
                  <w:tcW w:w="1863" w:type="pct"/>
                  <w:noWrap w:val="0"/>
                  <w:vAlign w:val="center"/>
                </w:tcPr>
                <w:p w14:paraId="1F2B44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负面清单：高能耗、高污染型行业禁止入区，其他行业选择性入区；天然气管道到户及供气后，尚需要自行建设燃煤锅炉的企业禁止入区；涉及铜、铅、镍等有色金属的冶炼以及涉及电镀的行业不得入区；化工、印染及酿造不得入区。“三十、结构性金属制品制造331”不在负面清单内。</w:t>
                  </w:r>
                </w:p>
              </w:tc>
            </w:tr>
          </w:tbl>
          <w:p w14:paraId="20137FD9">
            <w:pPr>
              <w:pStyle w:val="63"/>
              <w:keepNext w:val="0"/>
              <w:keepLines w:val="0"/>
              <w:pageBreakBefore w:val="0"/>
              <w:widowControl w:val="0"/>
              <w:kinsoku/>
              <w:wordWrap/>
              <w:overflowPunct/>
              <w:topLinePunct w:val="0"/>
              <w:autoSpaceDE/>
              <w:autoSpaceDN/>
              <w:bidi w:val="0"/>
              <w:adjustRightInd/>
              <w:snapToGrid/>
              <w:spacing w:line="360" w:lineRule="auto"/>
              <w:ind w:left="0" w:leftChars="0" w:right="0" w:firstLine="468" w:firstLineChars="200"/>
              <w:textAlignment w:val="auto"/>
              <w:rPr>
                <w:rFonts w:hint="default" w:ascii="Times New Roman" w:hAnsi="Times New Roman" w:cs="Times New Roman"/>
                <w:color w:val="auto"/>
              </w:rPr>
            </w:pPr>
            <w:r>
              <w:rPr>
                <w:rFonts w:hint="default" w:ascii="Times New Roman" w:hAnsi="Times New Roman" w:cs="Times New Roman"/>
                <w:color w:val="auto"/>
                <w:spacing w:val="-3"/>
              </w:rPr>
              <w:t>（</w:t>
            </w:r>
            <w:r>
              <w:rPr>
                <w:rFonts w:hint="default" w:ascii="Times New Roman" w:hAnsi="Times New Roman" w:eastAsia="Times New Roman" w:cs="Times New Roman"/>
                <w:color w:val="auto"/>
                <w:spacing w:val="-3"/>
              </w:rPr>
              <w:t>1</w:t>
            </w:r>
            <w:r>
              <w:rPr>
                <w:rFonts w:hint="default" w:ascii="Times New Roman" w:hAnsi="Times New Roman" w:cs="Times New Roman"/>
                <w:color w:val="auto"/>
                <w:spacing w:val="-3"/>
              </w:rPr>
              <w:t>）生态保护红线</w:t>
            </w:r>
          </w:p>
          <w:p w14:paraId="02DBE4E0">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本项目选址位于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eastAsia="宋体" w:cs="Times New Roman"/>
                <w:color w:val="auto"/>
                <w:kern w:val="2"/>
                <w:sz w:val="24"/>
                <w:szCs w:val="24"/>
                <w:lang w:val="en-US" w:eastAsia="zh-CN" w:bidi="ar-SA"/>
              </w:rPr>
              <w:t>，选址不占用生态保护红线区域，本项目与蚌埠市生态保护红线保护区的位置关系见</w:t>
            </w:r>
            <w:r>
              <w:rPr>
                <w:rFonts w:hint="default" w:ascii="Times New Roman" w:hAnsi="Times New Roman" w:cs="Times New Roman"/>
                <w:color w:val="auto"/>
                <w:kern w:val="2"/>
                <w:sz w:val="24"/>
                <w:szCs w:val="24"/>
                <w:lang w:val="en-US" w:eastAsia="zh-CN" w:bidi="ar-SA"/>
              </w:rPr>
              <w:t>下</w:t>
            </w:r>
            <w:r>
              <w:rPr>
                <w:rFonts w:hint="default" w:ascii="Times New Roman" w:hAnsi="Times New Roman" w:eastAsia="宋体" w:cs="Times New Roman"/>
                <w:color w:val="auto"/>
                <w:kern w:val="2"/>
                <w:sz w:val="24"/>
                <w:szCs w:val="24"/>
                <w:lang w:val="en-US" w:eastAsia="zh-CN" w:bidi="ar-SA"/>
              </w:rPr>
              <w:t>图。</w:t>
            </w:r>
          </w:p>
          <w:p w14:paraId="0C8E8510">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1E3B3EC8">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668A4753">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3CDD2075">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50D2AC06">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0249C460">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6D5AACD1">
            <w:pPr>
              <w:pStyle w:val="63"/>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default" w:ascii="Times New Roman" w:hAnsi="Times New Roman" w:eastAsia="宋体" w:cs="Times New Roman"/>
                <w:color w:val="auto"/>
                <w:kern w:val="2"/>
                <w:sz w:val="24"/>
                <w:szCs w:val="24"/>
                <w:lang w:val="en-US" w:eastAsia="zh-CN" w:bidi="ar-SA"/>
              </w:rPr>
            </w:pPr>
          </w:p>
          <w:p w14:paraId="59F9EED5">
            <w:pPr>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cs="Times New Roman"/>
                <w:color w:val="auto"/>
              </w:rPr>
              <w:drawing>
                <wp:inline distT="0" distB="0" distL="114300" distR="114300">
                  <wp:extent cx="4763770" cy="3456305"/>
                  <wp:effectExtent l="9525" t="9525" r="27305" b="2032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4"/>
                          <a:stretch>
                            <a:fillRect/>
                          </a:stretch>
                        </pic:blipFill>
                        <pic:spPr>
                          <a:xfrm>
                            <a:off x="0" y="0"/>
                            <a:ext cx="4763770" cy="3456305"/>
                          </a:xfrm>
                          <a:prstGeom prst="rect">
                            <a:avLst/>
                          </a:prstGeom>
                          <a:noFill/>
                          <a:ln>
                            <a:solidFill>
                              <a:schemeClr val="tx1"/>
                            </a:solidFill>
                          </a:ln>
                        </pic:spPr>
                      </pic:pic>
                    </a:graphicData>
                  </a:graphic>
                </wp:inline>
              </w:drawing>
            </w:r>
          </w:p>
          <w:p w14:paraId="1D43D93E">
            <w:pPr>
              <w:autoSpaceDE w:val="0"/>
              <w:autoSpaceDN w:val="0"/>
              <w:spacing w:line="240" w:lineRule="auto"/>
              <w:ind w:firstLine="0" w:firstLineChars="0"/>
              <w:contextualSpacing/>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图1-1  安徽省三线一单图</w:t>
            </w:r>
          </w:p>
          <w:p w14:paraId="77D13A54">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经与“三线一单”成果数据分析，本项目与1个环境管控单元存在交叠，其中优先保护类0个，重点管控类1个</w:t>
            </w:r>
            <w:r>
              <w:rPr>
                <w:rFonts w:hint="default" w:ascii="Times New Roman" w:hAnsi="Times New Roman" w:eastAsia="宋体" w:cs="Times New Roman"/>
                <w:color w:val="auto"/>
                <w:sz w:val="24"/>
                <w:lang w:val="zh-CN"/>
              </w:rPr>
              <w:t>（编码：ZH34</w:t>
            </w:r>
            <w:r>
              <w:rPr>
                <w:rFonts w:hint="default" w:ascii="Times New Roman" w:hAnsi="Times New Roman" w:eastAsia="宋体" w:cs="Times New Roman"/>
                <w:color w:val="auto"/>
                <w:sz w:val="24"/>
                <w:lang w:val="en-US" w:eastAsia="zh-CN"/>
              </w:rPr>
              <w:t>030220024</w:t>
            </w:r>
            <w:r>
              <w:rPr>
                <w:rFonts w:hint="default" w:ascii="Times New Roman" w:hAnsi="Times New Roman" w:eastAsia="宋体" w:cs="Times New Roman"/>
                <w:color w:val="auto"/>
                <w:sz w:val="24"/>
                <w:lang w:val="zh-CN"/>
              </w:rPr>
              <w:t>）</w:t>
            </w:r>
            <w:r>
              <w:rPr>
                <w:rFonts w:hint="default" w:ascii="Times New Roman" w:hAnsi="Times New Roman" w:eastAsia="宋体" w:cs="Times New Roman"/>
                <w:color w:val="auto"/>
                <w:sz w:val="24"/>
              </w:rPr>
              <w:t>，一般管控类0个。</w:t>
            </w:r>
          </w:p>
          <w:p w14:paraId="3E460B5F">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w:t>
            </w:r>
            <w:r>
              <w:rPr>
                <w:rFonts w:hint="default" w:ascii="Times New Roman" w:hAnsi="Times New Roman" w:cs="Times New Roman"/>
                <w:b/>
                <w:color w:val="auto"/>
                <w:sz w:val="21"/>
                <w:szCs w:val="21"/>
                <w:highlight w:val="none"/>
                <w:lang w:val="en-US" w:eastAsia="zh-CN"/>
              </w:rPr>
              <w:t>4</w:t>
            </w:r>
            <w:r>
              <w:rPr>
                <w:rFonts w:hint="default" w:ascii="Times New Roman" w:hAnsi="Times New Roman" w:eastAsia="宋体" w:cs="Times New Roman"/>
                <w:b/>
                <w:color w:val="auto"/>
                <w:sz w:val="21"/>
                <w:szCs w:val="21"/>
                <w:highlight w:val="none"/>
                <w:lang w:val="en-US" w:eastAsia="zh-CN"/>
              </w:rPr>
              <w:t xml:space="preserve">  环境管控单元管控要求</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652"/>
              <w:gridCol w:w="3089"/>
              <w:gridCol w:w="2763"/>
            </w:tblGrid>
            <w:tr w14:paraId="5BAD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pct"/>
                  <w:vAlign w:val="center"/>
                </w:tcPr>
                <w:p w14:paraId="4836EDC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环境管控单元分类</w:t>
                  </w:r>
                </w:p>
              </w:tc>
              <w:tc>
                <w:tcPr>
                  <w:tcW w:w="431" w:type="pct"/>
                  <w:vAlign w:val="center"/>
                </w:tcPr>
                <w:p w14:paraId="7DB715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管控类别</w:t>
                  </w:r>
                </w:p>
              </w:tc>
              <w:tc>
                <w:tcPr>
                  <w:tcW w:w="2041" w:type="pct"/>
                  <w:vAlign w:val="center"/>
                </w:tcPr>
                <w:p w14:paraId="3CA085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管控要求</w:t>
                  </w:r>
                </w:p>
              </w:tc>
              <w:tc>
                <w:tcPr>
                  <w:tcW w:w="1825" w:type="pct"/>
                  <w:vAlign w:val="center"/>
                </w:tcPr>
                <w:p w14:paraId="3A24D5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本项目情况</w:t>
                  </w:r>
                </w:p>
              </w:tc>
            </w:tr>
            <w:tr w14:paraId="01A5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pct"/>
                  <w:vMerge w:val="restart"/>
                  <w:vAlign w:val="center"/>
                </w:tcPr>
                <w:p w14:paraId="50D12E4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重点管控单元24</w:t>
                  </w:r>
                </w:p>
              </w:tc>
              <w:tc>
                <w:tcPr>
                  <w:tcW w:w="431" w:type="pct"/>
                  <w:vAlign w:val="center"/>
                </w:tcPr>
                <w:p w14:paraId="4C8B924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空间布局约束</w:t>
                  </w:r>
                </w:p>
              </w:tc>
              <w:tc>
                <w:tcPr>
                  <w:tcW w:w="2041" w:type="pct"/>
                  <w:vAlign w:val="center"/>
                </w:tcPr>
                <w:p w14:paraId="605D4F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禁止在淮河流域新建化学制浆造纸企业和印染、制革、化工、电镀、酿造等污染严重的小型企业。</w:t>
                  </w:r>
                  <w:r>
                    <w:rPr>
                      <w:rFonts w:hint="default" w:ascii="Times New Roman" w:hAnsi="Times New Roman" w:eastAsia="宋体" w:cs="Times New Roman"/>
                      <w:i w:val="0"/>
                      <w:iCs w:val="0"/>
                      <w:color w:val="auto"/>
                      <w:kern w:val="0"/>
                      <w:sz w:val="21"/>
                      <w:szCs w:val="21"/>
                      <w:u w:val="none"/>
                      <w:lang w:val="en-US" w:eastAsia="zh-CN" w:bidi="ar"/>
                    </w:rPr>
                    <w:drawing>
                      <wp:inline distT="0" distB="0" distL="0" distR="0">
                        <wp:extent cx="224790" cy="13970"/>
                        <wp:effectExtent l="0" t="0" r="0" b="0"/>
                        <wp:docPr id="25" name="IM 2"/>
                        <wp:cNvGraphicFramePr/>
                        <a:graphic xmlns:a="http://schemas.openxmlformats.org/drawingml/2006/main">
                          <a:graphicData uri="http://schemas.openxmlformats.org/drawingml/2006/picture">
                            <pic:pic xmlns:pic="http://schemas.openxmlformats.org/drawingml/2006/picture">
                              <pic:nvPicPr>
                                <pic:cNvPr id="25" name="IM 2"/>
                                <pic:cNvPicPr/>
                              </pic:nvPicPr>
                              <pic:blipFill>
                                <a:blip r:embed="rId15"/>
                                <a:stretch>
                                  <a:fillRect/>
                                </a:stretch>
                              </pic:blipFill>
                              <pic:spPr>
                                <a:xfrm>
                                  <a:off x="0" y="0"/>
                                  <a:ext cx="224912" cy="14466"/>
                                </a:xfrm>
                                <a:prstGeom prst="rect">
                                  <a:avLst/>
                                </a:prstGeom>
                              </pic:spPr>
                            </pic:pic>
                          </a:graphicData>
                        </a:graphic>
                      </wp:inline>
                    </w:drawing>
                  </w:r>
                  <w:r>
                    <w:rPr>
                      <w:rFonts w:hint="default" w:ascii="Times New Roman" w:hAnsi="Times New Roman" w:eastAsia="宋体" w:cs="Times New Roman"/>
                      <w:i w:val="0"/>
                      <w:iCs w:val="0"/>
                      <w:color w:val="auto"/>
                      <w:kern w:val="0"/>
                      <w:sz w:val="21"/>
                      <w:szCs w:val="21"/>
                      <w:u w:val="none"/>
                      <w:lang w:val="en-US" w:eastAsia="zh-CN" w:bidi="ar"/>
                    </w:rPr>
                    <w:t>禁止下列行为：（1）向水体排放或者倾倒油类、酸液、碱液和其他有毒有害液体；（2）在水体中清洗装贮过有毒有害污染物的车辆、船舶和容器......（4）向水体排放、倾倒工业废渣、城镇垃圾和其他废弃物.......（10）法律、法规禁止的其他行为。......新建、扩建、改建项目，除执行前款规定外，还应当遵守下列规定：（1）新建项目的选址应符合城市总体规划，避开饮用水水源地和对环境有特殊要求的功能区；（2）采用资源利用率高、污染物排放量少的先进设备和先进工艺；</w:t>
                  </w:r>
                </w:p>
              </w:tc>
              <w:tc>
                <w:tcPr>
                  <w:tcW w:w="1825" w:type="pct"/>
                  <w:vAlign w:val="center"/>
                </w:tcPr>
                <w:p w14:paraId="7D0B50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本项目废水主要为生活污水，经化粪池处理后</w:t>
                  </w:r>
                  <w:r>
                    <w:rPr>
                      <w:rFonts w:hint="default" w:ascii="Times New Roman" w:hAnsi="Times New Roman" w:cs="Times New Roman"/>
                      <w:i w:val="0"/>
                      <w:iCs w:val="0"/>
                      <w:color w:val="auto"/>
                      <w:kern w:val="0"/>
                      <w:sz w:val="21"/>
                      <w:szCs w:val="21"/>
                      <w:highlight w:val="none"/>
                      <w:u w:val="none"/>
                      <w:lang w:val="en-US" w:eastAsia="zh-CN" w:bidi="ar"/>
                    </w:rPr>
                    <w:t>与循环冷却水一同</w:t>
                  </w:r>
                  <w:r>
                    <w:rPr>
                      <w:rFonts w:hint="default" w:ascii="Times New Roman" w:hAnsi="Times New Roman" w:eastAsia="宋体" w:cs="Times New Roman"/>
                      <w:i w:val="0"/>
                      <w:iCs w:val="0"/>
                      <w:color w:val="auto"/>
                      <w:kern w:val="0"/>
                      <w:sz w:val="21"/>
                      <w:szCs w:val="21"/>
                      <w:highlight w:val="none"/>
                      <w:u w:val="none"/>
                      <w:lang w:val="en-US" w:eastAsia="zh-CN" w:bidi="ar"/>
                    </w:rPr>
                    <w:t>进入厂区污水总排口，通过市政污水管网进入蚌埠市第二污水处理厂。蚌埠市第二污水处理厂尾水排放执行《城镇污水处理厂污染物排放标准》（GB18918-2002）中的一级A标准，排入淮河</w:t>
                  </w:r>
                  <w:r>
                    <w:rPr>
                      <w:rFonts w:hint="default" w:ascii="Times New Roman" w:hAnsi="Times New Roman" w:cs="Times New Roman"/>
                      <w:i w:val="0"/>
                      <w:iCs w:val="0"/>
                      <w:color w:val="auto"/>
                      <w:kern w:val="0"/>
                      <w:sz w:val="21"/>
                      <w:szCs w:val="21"/>
                      <w:highlight w:val="none"/>
                      <w:u w:val="none"/>
                      <w:lang w:val="en-US" w:eastAsia="zh-CN" w:bidi="ar"/>
                    </w:rPr>
                    <w:t>干流蚌埠段</w:t>
                  </w:r>
                  <w:r>
                    <w:rPr>
                      <w:rFonts w:hint="default" w:ascii="Times New Roman" w:hAnsi="Times New Roman" w:eastAsia="宋体" w:cs="Times New Roman"/>
                      <w:i w:val="0"/>
                      <w:iCs w:val="0"/>
                      <w:color w:val="auto"/>
                      <w:kern w:val="0"/>
                      <w:sz w:val="21"/>
                      <w:szCs w:val="21"/>
                      <w:highlight w:val="none"/>
                      <w:u w:val="none"/>
                      <w:lang w:val="en-US" w:eastAsia="zh-CN" w:bidi="ar"/>
                    </w:rPr>
                    <w:t>；本项目选址位于</w:t>
                  </w:r>
                  <w:r>
                    <w:rPr>
                      <w:rFonts w:hint="default" w:ascii="Times New Roman" w:hAnsi="Times New Roman" w:cs="Times New Roman"/>
                      <w:i w:val="0"/>
                      <w:iCs w:val="0"/>
                      <w:color w:val="auto"/>
                      <w:kern w:val="0"/>
                      <w:sz w:val="21"/>
                      <w:szCs w:val="21"/>
                      <w:highlight w:val="none"/>
                      <w:u w:val="none"/>
                      <w:lang w:val="en-US" w:eastAsia="zh-CN" w:bidi="ar"/>
                    </w:rPr>
                    <w:t>安徽省蚌埠市龙子湖区李楼乡胜利东路199号（厂区东片）</w:t>
                  </w:r>
                  <w:r>
                    <w:rPr>
                      <w:rFonts w:hint="default" w:ascii="Times New Roman" w:hAnsi="Times New Roman" w:eastAsia="宋体" w:cs="Times New Roman"/>
                      <w:i w:val="0"/>
                      <w:iCs w:val="0"/>
                      <w:color w:val="auto"/>
                      <w:kern w:val="0"/>
                      <w:sz w:val="21"/>
                      <w:szCs w:val="21"/>
                      <w:highlight w:val="none"/>
                      <w:u w:val="none"/>
                      <w:lang w:val="en-US" w:eastAsia="zh-CN" w:bidi="ar"/>
                    </w:rPr>
                    <w:t>，租赁蚌埠金大地保温器皿有限公司厂房</w:t>
                  </w:r>
                  <w:r>
                    <w:rPr>
                      <w:rFonts w:hint="eastAsia" w:cs="Times New Roman"/>
                      <w:i w:val="0"/>
                      <w:iCs w:val="0"/>
                      <w:color w:val="auto"/>
                      <w:kern w:val="0"/>
                      <w:sz w:val="21"/>
                      <w:szCs w:val="21"/>
                      <w:highlight w:val="none"/>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为工业用地，</w:t>
                  </w:r>
                  <w:r>
                    <w:rPr>
                      <w:rFonts w:hint="default" w:ascii="Times New Roman" w:hAnsi="Times New Roman" w:eastAsia="宋体" w:cs="Times New Roman"/>
                      <w:i w:val="0"/>
                      <w:iCs w:val="0"/>
                      <w:color w:val="auto"/>
                      <w:kern w:val="0"/>
                      <w:sz w:val="21"/>
                      <w:szCs w:val="21"/>
                      <w:u w:val="none"/>
                      <w:lang w:val="en-US" w:eastAsia="zh-CN" w:bidi="ar"/>
                    </w:rPr>
                    <w:t>本项目选址时已充分考虑工程所在地各级政府及规划部门意见，避开了居民集中区、河流、湖泊、生态保护红线、永久基本农田、饮用水水源保护区等，选址合理</w:t>
                  </w:r>
                  <w:r>
                    <w:rPr>
                      <w:rFonts w:hint="default" w:ascii="Times New Roman" w:hAnsi="Times New Roman" w:cs="Times New Roman"/>
                      <w:i w:val="0"/>
                      <w:iCs w:val="0"/>
                      <w:color w:val="auto"/>
                      <w:kern w:val="0"/>
                      <w:sz w:val="21"/>
                      <w:szCs w:val="21"/>
                      <w:u w:val="none"/>
                      <w:lang w:val="en-US" w:eastAsia="zh-CN" w:bidi="ar"/>
                    </w:rPr>
                    <w:t>工</w:t>
                  </w:r>
                  <w:r>
                    <w:rPr>
                      <w:rFonts w:hint="default" w:ascii="Times New Roman" w:hAnsi="Times New Roman" w:eastAsia="宋体" w:cs="Times New Roman"/>
                      <w:i w:val="0"/>
                      <w:iCs w:val="0"/>
                      <w:color w:val="auto"/>
                      <w:kern w:val="0"/>
                      <w:sz w:val="21"/>
                      <w:szCs w:val="21"/>
                      <w:u w:val="none"/>
                      <w:lang w:val="en-US" w:eastAsia="zh-CN" w:bidi="ar"/>
                    </w:rPr>
                    <w:t>程所在地各级政府及规划部门意见，避开了居民集中区、河流、湖泊、生态保护红线、永久基本农田、饮用水水源保护区等，选址合理</w:t>
                  </w:r>
                </w:p>
              </w:tc>
            </w:tr>
            <w:tr w14:paraId="0FF5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pct"/>
                  <w:vMerge w:val="continue"/>
                  <w:vAlign w:val="center"/>
                </w:tcPr>
                <w:p w14:paraId="2DDC339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431" w:type="pct"/>
                  <w:vAlign w:val="center"/>
                </w:tcPr>
                <w:p w14:paraId="48E458F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污染物排放管控</w:t>
                  </w:r>
                </w:p>
              </w:tc>
              <w:tc>
                <w:tcPr>
                  <w:tcW w:w="2041" w:type="pct"/>
                  <w:vAlign w:val="center"/>
                </w:tcPr>
                <w:p w14:paraId="5A8A3C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环境空气质量持续改善，全省细颗粒物（PM2.5）浓度总体达标，基本消除重污染天气，优良天数比率进一步提升。</w:t>
                  </w:r>
                  <w:r>
                    <w:rPr>
                      <w:rFonts w:hint="default" w:ascii="Times New Roman" w:hAnsi="Times New Roman" w:eastAsia="宋体" w:cs="Times New Roman"/>
                      <w:i w:val="0"/>
                      <w:iCs w:val="0"/>
                      <w:color w:val="auto"/>
                      <w:kern w:val="0"/>
                      <w:sz w:val="21"/>
                      <w:szCs w:val="21"/>
                      <w:u w:val="none"/>
                      <w:lang w:val="en-US" w:eastAsia="zh-CN" w:bidi="ar"/>
                    </w:rPr>
                    <w:drawing>
                      <wp:inline distT="0" distB="0" distL="0" distR="0">
                        <wp:extent cx="256540" cy="13970"/>
                        <wp:effectExtent l="0" t="0" r="0" b="0"/>
                        <wp:docPr id="26" name="IM 4"/>
                        <wp:cNvGraphicFramePr/>
                        <a:graphic xmlns:a="http://schemas.openxmlformats.org/drawingml/2006/main">
                          <a:graphicData uri="http://schemas.openxmlformats.org/drawingml/2006/picture">
                            <pic:pic xmlns:pic="http://schemas.openxmlformats.org/drawingml/2006/picture">
                              <pic:nvPicPr>
                                <pic:cNvPr id="26" name="IM 4"/>
                                <pic:cNvPicPr/>
                              </pic:nvPicPr>
                              <pic:blipFill>
                                <a:blip r:embed="rId16"/>
                                <a:stretch>
                                  <a:fillRect/>
                                </a:stretch>
                              </pic:blipFill>
                              <pic:spPr>
                                <a:xfrm>
                                  <a:off x="0" y="0"/>
                                  <a:ext cx="256910" cy="14465"/>
                                </a:xfrm>
                                <a:prstGeom prst="rect">
                                  <a:avLst/>
                                </a:prstGeom>
                              </pic:spPr>
                            </pic:pic>
                          </a:graphicData>
                        </a:graphic>
                      </wp:inline>
                    </w:drawing>
                  </w:r>
                  <w:r>
                    <w:rPr>
                      <w:rFonts w:hint="default" w:ascii="Times New Roman" w:hAnsi="Times New Roman" w:eastAsia="宋体" w:cs="Times New Roman"/>
                      <w:i w:val="0"/>
                      <w:iCs w:val="0"/>
                      <w:color w:val="auto"/>
                      <w:kern w:val="0"/>
                      <w:sz w:val="21"/>
                      <w:szCs w:val="21"/>
                      <w:u w:val="none"/>
                      <w:lang w:val="en-US" w:eastAsia="zh-CN" w:bidi="ar"/>
                    </w:rPr>
                    <w:t>建筑工程施工现场扬尘污染防治应做到工地周边围挡、物料堆放覆盖、路面硬化、土方开挖湿法作业、出入车辆清洗、渣土车辆密闭运输“六个百分之百”。</w:t>
                  </w:r>
                </w:p>
              </w:tc>
              <w:tc>
                <w:tcPr>
                  <w:tcW w:w="1825" w:type="pct"/>
                  <w:vAlign w:val="center"/>
                </w:tcPr>
                <w:p w14:paraId="6CAED6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本项目施工期不新建建筑物，主要为部分设备安装、调试过程，故施工期污染物产生量较小，不会对周边环境产生不良影响</w:t>
                  </w:r>
                </w:p>
              </w:tc>
            </w:tr>
            <w:tr w14:paraId="57E1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pct"/>
                  <w:vMerge w:val="continue"/>
                  <w:vAlign w:val="center"/>
                </w:tcPr>
                <w:p w14:paraId="3600FF0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431" w:type="pct"/>
                  <w:vAlign w:val="center"/>
                </w:tcPr>
                <w:p w14:paraId="7E84B0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资源开发效率要求</w:t>
                  </w:r>
                </w:p>
              </w:tc>
              <w:tc>
                <w:tcPr>
                  <w:tcW w:w="2041" w:type="pct"/>
                  <w:vAlign w:val="center"/>
                </w:tcPr>
                <w:p w14:paraId="00831D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禁止任何单位和个人破坏、侵占、买卖或者以其他形式非法转让自然保护区内的土地。确保耕地、林地数量和质量，保障设施农业用地，严格控制工业用地增加，适度增加城市居住用地，逐步减少农村居住用地，合理控制交通用地增长。严格控制非农建设占用基本农田，禁止擅自改变基本农田的用途和位置</w:t>
                  </w:r>
                </w:p>
              </w:tc>
              <w:tc>
                <w:tcPr>
                  <w:tcW w:w="1825" w:type="pct"/>
                  <w:vAlign w:val="center"/>
                </w:tcPr>
                <w:p w14:paraId="273A99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本项目选址位于</w:t>
                  </w:r>
                  <w:r>
                    <w:rPr>
                      <w:rFonts w:hint="default" w:ascii="Times New Roman" w:hAnsi="Times New Roman" w:cs="Times New Roman"/>
                      <w:i w:val="0"/>
                      <w:iCs w:val="0"/>
                      <w:color w:val="auto"/>
                      <w:kern w:val="0"/>
                      <w:sz w:val="21"/>
                      <w:szCs w:val="21"/>
                      <w:u w:val="none"/>
                      <w:lang w:val="en-US" w:eastAsia="zh-CN" w:bidi="ar"/>
                    </w:rPr>
                    <w:t>安徽省蚌埠市龙子湖区李楼乡胜利东路199号（厂区东片）</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租赁蚌埠金大地保温器皿有限公司厂房，</w:t>
                  </w:r>
                  <w:r>
                    <w:rPr>
                      <w:rFonts w:hint="default" w:ascii="Times New Roman" w:hAnsi="Times New Roman" w:cs="Times New Roman"/>
                      <w:i w:val="0"/>
                      <w:iCs w:val="0"/>
                      <w:color w:val="auto"/>
                      <w:kern w:val="0"/>
                      <w:sz w:val="21"/>
                      <w:szCs w:val="21"/>
                      <w:highlight w:val="none"/>
                      <w:u w:val="none"/>
                      <w:lang w:val="en-US" w:eastAsia="zh-CN" w:bidi="ar"/>
                    </w:rPr>
                    <w:t>为</w:t>
                  </w:r>
                  <w:r>
                    <w:rPr>
                      <w:rFonts w:hint="default" w:ascii="Times New Roman" w:hAnsi="Times New Roman" w:cs="Times New Roman"/>
                      <w:i w:val="0"/>
                      <w:iCs w:val="0"/>
                      <w:color w:val="auto"/>
                      <w:kern w:val="0"/>
                      <w:sz w:val="21"/>
                      <w:szCs w:val="21"/>
                      <w:u w:val="none"/>
                      <w:lang w:val="en-US" w:eastAsia="zh-CN" w:bidi="ar"/>
                    </w:rPr>
                    <w:t>工业用地，</w:t>
                  </w:r>
                  <w:r>
                    <w:rPr>
                      <w:rFonts w:hint="default" w:ascii="Times New Roman" w:hAnsi="Times New Roman" w:eastAsia="宋体" w:cs="Times New Roman"/>
                      <w:i w:val="0"/>
                      <w:iCs w:val="0"/>
                      <w:color w:val="auto"/>
                      <w:kern w:val="0"/>
                      <w:sz w:val="21"/>
                      <w:szCs w:val="21"/>
                      <w:u w:val="none"/>
                      <w:lang w:val="en-US" w:eastAsia="zh-CN" w:bidi="ar"/>
                    </w:rPr>
                    <w:t>不涉及自然保护区、永久基本农田</w:t>
                  </w:r>
                </w:p>
              </w:tc>
            </w:tr>
          </w:tbl>
          <w:p w14:paraId="55B5D287">
            <w:pPr>
              <w:pStyle w:val="82"/>
              <w:rPr>
                <w:rFonts w:hint="default" w:ascii="Times New Roman" w:hAnsi="Times New Roman" w:cs="Times New Roman"/>
                <w:color w:val="auto"/>
              </w:rPr>
            </w:pPr>
            <w:r>
              <w:rPr>
                <w:rFonts w:hint="default" w:ascii="Times New Roman" w:hAnsi="Times New Roman" w:cs="Times New Roman"/>
                <w:color w:val="auto"/>
              </w:rPr>
              <w:t>本项目位于安徽省</w:t>
            </w:r>
            <w:r>
              <w:rPr>
                <w:rFonts w:hint="default" w:ascii="Times New Roman" w:hAnsi="Times New Roman" w:cs="Times New Roman"/>
                <w:color w:val="auto"/>
                <w:lang w:eastAsia="zh-CN"/>
              </w:rPr>
              <w:t>安徽省蚌埠市龙子湖区李楼乡胜利东路199号（厂区东片）</w:t>
            </w:r>
            <w:r>
              <w:rPr>
                <w:rFonts w:hint="default" w:ascii="Times New Roman" w:hAnsi="Times New Roman" w:cs="Times New Roman"/>
                <w:color w:val="auto"/>
              </w:rPr>
              <w:t>，不新增建设用地，根据蚌埠市生态红线分布图，本项目不在蚌埠市生态红线保护区范围内，详见下图。</w:t>
            </w:r>
          </w:p>
          <w:p w14:paraId="2047AC3C">
            <w:pPr>
              <w:pStyle w:val="82"/>
              <w:rPr>
                <w:rFonts w:hint="default" w:ascii="Times New Roman" w:hAnsi="Times New Roman" w:cs="Times New Roman"/>
                <w:color w:val="auto"/>
              </w:rPr>
            </w:pPr>
          </w:p>
          <w:p w14:paraId="77A2C740">
            <w:pPr>
              <w:pStyle w:val="82"/>
              <w:rPr>
                <w:rFonts w:hint="default" w:ascii="Times New Roman" w:hAnsi="Times New Roman" w:cs="Times New Roman"/>
                <w:color w:val="auto"/>
              </w:rPr>
            </w:pPr>
          </w:p>
          <w:p w14:paraId="20C63359">
            <w:pPr>
              <w:pStyle w:val="82"/>
              <w:rPr>
                <w:rFonts w:hint="default" w:ascii="Times New Roman" w:hAnsi="Times New Roman" w:cs="Times New Roman"/>
                <w:color w:val="auto"/>
              </w:rPr>
            </w:pPr>
          </w:p>
          <w:p w14:paraId="6DAAE677">
            <w:pPr>
              <w:pStyle w:val="82"/>
              <w:rPr>
                <w:rFonts w:hint="default" w:ascii="Times New Roman" w:hAnsi="Times New Roman" w:cs="Times New Roman"/>
                <w:color w:val="auto"/>
              </w:rPr>
            </w:pPr>
          </w:p>
          <w:p w14:paraId="52E78B1E">
            <w:pPr>
              <w:pStyle w:val="82"/>
              <w:rPr>
                <w:rFonts w:hint="default" w:ascii="Times New Roman" w:hAnsi="Times New Roman" w:cs="Times New Roman"/>
                <w:color w:val="auto"/>
              </w:rPr>
            </w:pPr>
          </w:p>
          <w:p w14:paraId="6BBBD293">
            <w:pPr>
              <w:pStyle w:val="82"/>
              <w:rPr>
                <w:rFonts w:hint="default" w:ascii="Times New Roman" w:hAnsi="Times New Roman" w:cs="Times New Roman"/>
                <w:color w:val="auto"/>
              </w:rPr>
            </w:pPr>
          </w:p>
          <w:p w14:paraId="7337979D">
            <w:pPr>
              <w:pStyle w:val="82"/>
              <w:rPr>
                <w:rFonts w:hint="default" w:ascii="Times New Roman" w:hAnsi="Times New Roman" w:cs="Times New Roman"/>
                <w:color w:val="auto"/>
              </w:rPr>
            </w:pPr>
          </w:p>
          <w:p w14:paraId="64682633">
            <w:pPr>
              <w:pStyle w:val="82"/>
              <w:rPr>
                <w:rFonts w:hint="default" w:ascii="Times New Roman" w:hAnsi="Times New Roman" w:cs="Times New Roman"/>
                <w:color w:val="auto"/>
              </w:rPr>
            </w:pPr>
          </w:p>
          <w:p w14:paraId="317F9C34">
            <w:pPr>
              <w:pStyle w:val="8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0" distR="0">
                  <wp:extent cx="4784090" cy="3347720"/>
                  <wp:effectExtent l="0" t="0" r="16510" b="508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17"/>
                          <a:stretch>
                            <a:fillRect/>
                          </a:stretch>
                        </pic:blipFill>
                        <pic:spPr>
                          <a:xfrm>
                            <a:off x="0" y="0"/>
                            <a:ext cx="4784090" cy="3347720"/>
                          </a:xfrm>
                          <a:prstGeom prst="rect">
                            <a:avLst/>
                          </a:prstGeom>
                        </pic:spPr>
                      </pic:pic>
                    </a:graphicData>
                  </a:graphic>
                </wp:inline>
              </w:drawing>
            </w:r>
          </w:p>
          <w:p w14:paraId="6075764E">
            <w:pPr>
              <w:pStyle w:val="80"/>
              <w:rPr>
                <w:rFonts w:hint="default" w:ascii="Times New Roman" w:hAnsi="Times New Roman" w:cs="Times New Roman"/>
                <w:color w:val="auto"/>
              </w:rPr>
            </w:pPr>
            <w:r>
              <w:rPr>
                <w:rFonts w:hint="default" w:ascii="Times New Roman" w:hAnsi="Times New Roman" w:cs="Times New Roman"/>
                <w:color w:val="auto"/>
              </w:rPr>
              <w:t>图1-2  本项目与蚌埠市生态保护红线位置关系图</w:t>
            </w:r>
          </w:p>
          <w:p w14:paraId="5F2246BD">
            <w:pPr>
              <w:pStyle w:val="63"/>
              <w:spacing w:line="220" w:lineRule="auto"/>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（2）环境质量底线</w:t>
            </w:r>
          </w:p>
          <w:p w14:paraId="37FF8FC6">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①水环境质量底线</w:t>
            </w:r>
          </w:p>
          <w:p w14:paraId="7424D15E">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本项目位于</w:t>
            </w:r>
            <w:r>
              <w:rPr>
                <w:rFonts w:hint="default" w:ascii="Times New Roman" w:hAnsi="Times New Roman" w:cs="Times New Roman"/>
                <w:color w:val="auto"/>
              </w:rPr>
              <w:t>安徽省</w:t>
            </w:r>
            <w:r>
              <w:rPr>
                <w:rFonts w:hint="default" w:ascii="Times New Roman" w:hAnsi="Times New Roman" w:cs="Times New Roman"/>
                <w:color w:val="auto"/>
                <w:lang w:eastAsia="zh-CN"/>
              </w:rPr>
              <w:t>安徽省蚌埠市龙子湖区李楼乡胜利东路199号（厂区东片）</w:t>
            </w:r>
            <w:r>
              <w:rPr>
                <w:rFonts w:hint="default" w:ascii="Times New Roman" w:hAnsi="Times New Roman" w:cs="Times New Roman"/>
                <w:color w:val="auto"/>
                <w:sz w:val="24"/>
              </w:rPr>
              <w:t>，项目所涉及的地表水环境为</w:t>
            </w:r>
            <w:r>
              <w:rPr>
                <w:rFonts w:hint="default" w:ascii="Times New Roman" w:hAnsi="Times New Roman" w:cs="Times New Roman"/>
                <w:color w:val="auto"/>
                <w:sz w:val="24"/>
                <w:lang w:eastAsia="zh-CN"/>
              </w:rPr>
              <w:t>淮河干流蚌埠段</w:t>
            </w:r>
            <w:r>
              <w:rPr>
                <w:rFonts w:hint="default" w:ascii="Times New Roman" w:hAnsi="Times New Roman" w:cs="Times New Roman"/>
                <w:color w:val="auto"/>
                <w:sz w:val="24"/>
              </w:rPr>
              <w:t>，水质为I</w:t>
            </w:r>
            <w:r>
              <w:rPr>
                <w:rFonts w:hint="default" w:ascii="Times New Roman" w:hAnsi="Times New Roman" w:cs="Times New Roman"/>
                <w:color w:val="auto"/>
                <w:sz w:val="24"/>
                <w:lang w:val="en-US" w:eastAsia="zh-CN"/>
              </w:rPr>
              <w:t>II</w:t>
            </w:r>
            <w:r>
              <w:rPr>
                <w:rFonts w:hint="default" w:ascii="Times New Roman" w:hAnsi="Times New Roman" w:cs="Times New Roman"/>
                <w:color w:val="auto"/>
                <w:sz w:val="24"/>
              </w:rPr>
              <w:t>类，</w:t>
            </w:r>
            <w:r>
              <w:rPr>
                <w:rFonts w:hint="default" w:ascii="Times New Roman" w:hAnsi="Times New Roman" w:eastAsia="宋体" w:cs="Times New Roman"/>
                <w:color w:val="auto"/>
                <w:kern w:val="2"/>
                <w:sz w:val="24"/>
                <w:szCs w:val="24"/>
                <w:lang w:val="en-US" w:eastAsia="zh-CN" w:bidi="ar-SA"/>
              </w:rPr>
              <w:t>根据《2024年蚌埠市生态环境质量状况公报》，淮河</w:t>
            </w:r>
            <w:r>
              <w:rPr>
                <w:rFonts w:hint="default" w:ascii="Times New Roman" w:hAnsi="Times New Roman" w:cs="Times New Roman"/>
                <w:color w:val="auto"/>
                <w:sz w:val="24"/>
                <w:lang w:eastAsia="zh-CN"/>
              </w:rPr>
              <w:t>干流蚌埠段</w:t>
            </w:r>
            <w:r>
              <w:rPr>
                <w:rFonts w:hint="default" w:ascii="Times New Roman" w:hAnsi="Times New Roman" w:eastAsia="宋体" w:cs="Times New Roman"/>
                <w:color w:val="auto"/>
                <w:kern w:val="2"/>
                <w:sz w:val="24"/>
                <w:szCs w:val="24"/>
                <w:lang w:val="en-US" w:eastAsia="zh-CN" w:bidi="ar-SA"/>
              </w:rPr>
              <w:t>水质可满足《地表水环境质量标准》（GB3838-2002）中的Ⅲ类标准</w:t>
            </w:r>
            <w:r>
              <w:rPr>
                <w:rFonts w:hint="default" w:ascii="Times New Roman" w:hAnsi="Times New Roman" w:cs="Times New Roman"/>
                <w:color w:val="auto"/>
                <w:sz w:val="24"/>
              </w:rPr>
              <w:t>。</w:t>
            </w:r>
          </w:p>
          <w:p w14:paraId="2F53DAB2">
            <w:pPr>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0" distR="0">
                  <wp:extent cx="4801870" cy="3347720"/>
                  <wp:effectExtent l="0" t="0" r="17780" b="5080"/>
                  <wp:docPr id="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icPr>
                        <pic:blipFill>
                          <a:blip r:embed="rId18"/>
                          <a:stretch>
                            <a:fillRect/>
                          </a:stretch>
                        </pic:blipFill>
                        <pic:spPr>
                          <a:xfrm>
                            <a:off x="0" y="0"/>
                            <a:ext cx="4801870" cy="3347720"/>
                          </a:xfrm>
                          <a:prstGeom prst="rect">
                            <a:avLst/>
                          </a:prstGeom>
                        </pic:spPr>
                      </pic:pic>
                    </a:graphicData>
                  </a:graphic>
                </wp:inline>
              </w:drawing>
            </w:r>
          </w:p>
          <w:p w14:paraId="5780E591">
            <w:pPr>
              <w:pStyle w:val="80"/>
              <w:rPr>
                <w:rFonts w:hint="default" w:ascii="Times New Roman" w:hAnsi="Times New Roman" w:cs="Times New Roman"/>
                <w:color w:val="auto"/>
              </w:rPr>
            </w:pPr>
            <w:r>
              <w:rPr>
                <w:rFonts w:hint="default" w:ascii="Times New Roman" w:hAnsi="Times New Roman" w:cs="Times New Roman"/>
                <w:color w:val="auto"/>
              </w:rPr>
              <w:t>图1-3  本项目与蚌埠市水环境分区管控位置关系图</w:t>
            </w:r>
          </w:p>
          <w:p w14:paraId="13164AB1">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②大气环境质量底线</w:t>
            </w:r>
          </w:p>
          <w:p w14:paraId="7D11885F">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lang w:val="en-US" w:eastAsia="zh-CN"/>
              </w:rPr>
              <w:t>根据《2024年蚌埠市生态环境质量状况公报》可知，蚌埠市2024年度细颗粒物（PM2.5）年均浓度和臭氧日最大8小时平均值第90百分位数均超过《环境空气质量标准》（GB3095-2012）二级标准要求，项目所在区域属于不达标区</w:t>
            </w:r>
            <w:r>
              <w:rPr>
                <w:rFonts w:hint="default" w:ascii="Times New Roman" w:hAnsi="Times New Roman" w:cs="Times New Roman"/>
                <w:color w:val="auto"/>
                <w:sz w:val="24"/>
              </w:rPr>
              <w:t>。</w:t>
            </w:r>
          </w:p>
          <w:p w14:paraId="02F2368D">
            <w:pPr>
              <w:pStyle w:val="8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0" distR="0">
                  <wp:extent cx="4813935" cy="3383915"/>
                  <wp:effectExtent l="0" t="0" r="5715" b="6985"/>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19"/>
                          <a:stretch>
                            <a:fillRect/>
                          </a:stretch>
                        </pic:blipFill>
                        <pic:spPr>
                          <a:xfrm>
                            <a:off x="0" y="0"/>
                            <a:ext cx="4813935" cy="3383915"/>
                          </a:xfrm>
                          <a:prstGeom prst="rect">
                            <a:avLst/>
                          </a:prstGeom>
                        </pic:spPr>
                      </pic:pic>
                    </a:graphicData>
                  </a:graphic>
                </wp:inline>
              </w:drawing>
            </w:r>
          </w:p>
          <w:p w14:paraId="6B7CB62E">
            <w:pPr>
              <w:pStyle w:val="80"/>
              <w:rPr>
                <w:rFonts w:hint="default" w:ascii="Times New Roman" w:hAnsi="Times New Roman" w:eastAsia="宋体" w:cs="Times New Roman"/>
                <w:color w:val="auto"/>
              </w:rPr>
            </w:pPr>
            <w:r>
              <w:rPr>
                <w:rFonts w:hint="default" w:ascii="Times New Roman" w:hAnsi="Times New Roman" w:eastAsia="宋体" w:cs="Times New Roman"/>
                <w:color w:val="auto"/>
              </w:rPr>
              <w:t>图1-4  本项目与蚌埠市大气环境分区管控位置关系图</w:t>
            </w:r>
          </w:p>
          <w:p w14:paraId="025CBC1D">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因此建设单位在落实评价中提出的各项污染物防治措施的前提下，各项污染物可以做到达标排放，不会降低区域环境质量的原有功能级别，满足环境质量底线控制要求。</w:t>
            </w:r>
          </w:p>
          <w:p w14:paraId="505A8A9F">
            <w:pPr>
              <w:spacing w:line="360" w:lineRule="auto"/>
              <w:ind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kern w:val="2"/>
                <w:sz w:val="24"/>
                <w:szCs w:val="24"/>
                <w:lang w:val="en-US" w:eastAsia="zh-CN" w:bidi="ar-SA"/>
              </w:rPr>
              <w:t>③</w:t>
            </w:r>
            <w:r>
              <w:rPr>
                <w:rFonts w:hint="default" w:ascii="Times New Roman" w:hAnsi="Times New Roman" w:eastAsia="宋体" w:cs="Times New Roman"/>
                <w:color w:val="auto"/>
                <w:kern w:val="2"/>
                <w:sz w:val="24"/>
                <w:szCs w:val="24"/>
                <w:lang w:val="en-US" w:eastAsia="zh-CN" w:bidi="ar-SA"/>
              </w:rPr>
              <w:t>分区管控要求</w:t>
            </w:r>
          </w:p>
          <w:p w14:paraId="521F5A07">
            <w:pPr>
              <w:pStyle w:val="63"/>
              <w:spacing w:before="32" w:line="358" w:lineRule="auto"/>
              <w:ind w:left="59" w:right="50" w:firstLine="48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根据《蚌埠市生态环境分区管控成果动态更新情况说明》，本项目所在区域</w:t>
            </w:r>
            <w:r>
              <w:rPr>
                <w:rFonts w:hint="eastAsia" w:ascii="Times New Roman" w:hAnsi="Times New Roman" w:cs="Times New Roman"/>
                <w:color w:val="auto"/>
                <w:kern w:val="2"/>
                <w:sz w:val="24"/>
                <w:szCs w:val="24"/>
                <w:lang w:val="en-US" w:eastAsia="zh-CN" w:bidi="ar-SA"/>
              </w:rPr>
              <w:t>涉及</w:t>
            </w:r>
            <w:r>
              <w:rPr>
                <w:rFonts w:hint="default" w:ascii="Times New Roman" w:hAnsi="Times New Roman" w:eastAsia="宋体" w:cs="Times New Roman"/>
                <w:color w:val="auto"/>
                <w:sz w:val="24"/>
              </w:rPr>
              <w:t>重点管控类1个</w:t>
            </w:r>
            <w:r>
              <w:rPr>
                <w:rFonts w:hint="default" w:ascii="Times New Roman" w:hAnsi="Times New Roman" w:eastAsia="宋体" w:cs="Times New Roman"/>
                <w:color w:val="auto"/>
                <w:sz w:val="24"/>
                <w:lang w:val="zh-CN"/>
              </w:rPr>
              <w:t>（编码：ZH34</w:t>
            </w:r>
            <w:r>
              <w:rPr>
                <w:rFonts w:hint="default" w:ascii="Times New Roman" w:hAnsi="Times New Roman" w:eastAsia="宋体" w:cs="Times New Roman"/>
                <w:color w:val="auto"/>
                <w:sz w:val="24"/>
                <w:lang w:val="en-US" w:eastAsia="zh-CN"/>
              </w:rPr>
              <w:t>030220024</w:t>
            </w:r>
            <w:r>
              <w:rPr>
                <w:rFonts w:hint="default" w:ascii="Times New Roman" w:hAnsi="Times New Roman" w:eastAsia="宋体" w:cs="Times New Roman"/>
                <w:color w:val="auto"/>
                <w:sz w:val="24"/>
                <w:lang w:val="zh-CN"/>
              </w:rPr>
              <w:t>）</w:t>
            </w:r>
            <w:r>
              <w:rPr>
                <w:rFonts w:hint="default" w:ascii="Times New Roman" w:hAnsi="Times New Roman" w:eastAsia="宋体" w:cs="Times New Roman"/>
                <w:color w:val="auto"/>
                <w:kern w:val="2"/>
                <w:sz w:val="24"/>
                <w:szCs w:val="24"/>
                <w:lang w:val="en-US" w:eastAsia="zh-CN" w:bidi="ar-SA"/>
              </w:rPr>
              <w:t>。</w:t>
            </w:r>
          </w:p>
          <w:p w14:paraId="43C5A229">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w:t>
            </w:r>
            <w:r>
              <w:rPr>
                <w:rFonts w:hint="default" w:ascii="Times New Roman" w:hAnsi="Times New Roman" w:cs="Times New Roman"/>
                <w:b/>
                <w:color w:val="auto"/>
                <w:sz w:val="21"/>
                <w:szCs w:val="21"/>
                <w:highlight w:val="none"/>
                <w:lang w:val="en-US" w:eastAsia="zh-CN"/>
              </w:rPr>
              <w:t>5</w:t>
            </w:r>
            <w:r>
              <w:rPr>
                <w:rFonts w:hint="default" w:ascii="Times New Roman" w:hAnsi="Times New Roman" w:eastAsia="宋体" w:cs="Times New Roman"/>
                <w:b/>
                <w:color w:val="auto"/>
                <w:sz w:val="21"/>
                <w:szCs w:val="21"/>
                <w:highlight w:val="none"/>
                <w:lang w:val="en-US" w:eastAsia="zh-CN"/>
              </w:rPr>
              <w:t xml:space="preserve">  环境分区管控要求的协调性分析</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3711"/>
              <w:gridCol w:w="2917"/>
            </w:tblGrid>
            <w:tr w14:paraId="6763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3D147F3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管控单元分类</w:t>
                  </w:r>
                </w:p>
              </w:tc>
              <w:tc>
                <w:tcPr>
                  <w:tcW w:w="2452" w:type="pct"/>
                  <w:vAlign w:val="center"/>
                </w:tcPr>
                <w:p w14:paraId="27DCAC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环境管控要求</w:t>
                  </w:r>
                </w:p>
              </w:tc>
              <w:tc>
                <w:tcPr>
                  <w:tcW w:w="1927" w:type="pct"/>
                  <w:vAlign w:val="center"/>
                </w:tcPr>
                <w:p w14:paraId="3E711F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符合性分析</w:t>
                  </w:r>
                </w:p>
              </w:tc>
            </w:tr>
            <w:tr w14:paraId="1EF0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4B366E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水环境重点管控区</w:t>
                  </w:r>
                </w:p>
              </w:tc>
              <w:tc>
                <w:tcPr>
                  <w:tcW w:w="2452" w:type="pct"/>
                  <w:vAlign w:val="center"/>
                </w:tcPr>
                <w:p w14:paraId="70A9B6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依据《中华人民共和国水污染防治法》《水污染防治行动计划》《安徽省水污染防治工作方案》及各市水污染防治工作方案对重点管控区实施管控；依据《安徽省淮河流域水污染防治条例》对淮河流域实施管控；依据开发区规划、规划环评及审查意见相关要求对开发区实施管控；落实《“十四五”生态环境保护规划》《安徽省“十四五”环境保护规划》《安徽省“十四五”节能减排实施方案》等要求，新建、改建和扩建项目水污染物实施“等量替代”。</w:t>
                  </w:r>
                </w:p>
              </w:tc>
              <w:tc>
                <w:tcPr>
                  <w:tcW w:w="1927" w:type="pct"/>
                  <w:vAlign w:val="center"/>
                </w:tcPr>
                <w:p w14:paraId="23CC211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本项目所在区域属于水环境重点管控区，</w:t>
                  </w:r>
                  <w:r>
                    <w:rPr>
                      <w:rFonts w:hint="default" w:ascii="Times New Roman" w:hAnsi="Times New Roman" w:eastAsia="宋体" w:cs="Times New Roman"/>
                      <w:i w:val="0"/>
                      <w:iCs w:val="0"/>
                      <w:color w:val="auto"/>
                      <w:kern w:val="0"/>
                      <w:sz w:val="21"/>
                      <w:szCs w:val="21"/>
                      <w:highlight w:val="none"/>
                      <w:u w:val="none"/>
                      <w:lang w:val="en-US" w:eastAsia="zh-CN" w:bidi="ar"/>
                    </w:rPr>
                    <w:t>本项目废水主要为生活污水</w:t>
                  </w:r>
                  <w:r>
                    <w:rPr>
                      <w:rFonts w:hint="default" w:ascii="Times New Roman" w:hAnsi="Times New Roman" w:cs="Times New Roman"/>
                      <w:i w:val="0"/>
                      <w:iCs w:val="0"/>
                      <w:color w:val="auto"/>
                      <w:kern w:val="0"/>
                      <w:sz w:val="21"/>
                      <w:szCs w:val="21"/>
                      <w:highlight w:val="none"/>
                      <w:u w:val="none"/>
                      <w:lang w:val="en-US" w:eastAsia="zh-CN" w:bidi="ar"/>
                    </w:rPr>
                    <w:t>、循环冷却水</w:t>
                  </w:r>
                  <w:r>
                    <w:rPr>
                      <w:rFonts w:hint="default" w:ascii="Times New Roman" w:hAnsi="Times New Roman" w:eastAsia="宋体" w:cs="Times New Roman"/>
                      <w:i w:val="0"/>
                      <w:iCs w:val="0"/>
                      <w:color w:val="auto"/>
                      <w:kern w:val="0"/>
                      <w:sz w:val="21"/>
                      <w:szCs w:val="21"/>
                      <w:highlight w:val="none"/>
                      <w:u w:val="none"/>
                      <w:lang w:val="en-US" w:eastAsia="zh-CN" w:bidi="ar"/>
                    </w:rPr>
                    <w:t>，生活污水经化粪池处理后</w:t>
                  </w:r>
                  <w:r>
                    <w:rPr>
                      <w:rFonts w:hint="default" w:ascii="Times New Roman" w:hAnsi="Times New Roman" w:cs="Times New Roman"/>
                      <w:i w:val="0"/>
                      <w:iCs w:val="0"/>
                      <w:color w:val="auto"/>
                      <w:kern w:val="0"/>
                      <w:sz w:val="21"/>
                      <w:szCs w:val="21"/>
                      <w:highlight w:val="none"/>
                      <w:u w:val="none"/>
                      <w:lang w:val="en-US" w:eastAsia="zh-CN" w:bidi="ar"/>
                    </w:rPr>
                    <w:t>与循环冷却水一同</w:t>
                  </w:r>
                  <w:r>
                    <w:rPr>
                      <w:rFonts w:hint="default" w:ascii="Times New Roman" w:hAnsi="Times New Roman" w:eastAsia="宋体" w:cs="Times New Roman"/>
                      <w:i w:val="0"/>
                      <w:iCs w:val="0"/>
                      <w:color w:val="auto"/>
                      <w:kern w:val="0"/>
                      <w:sz w:val="21"/>
                      <w:szCs w:val="21"/>
                      <w:highlight w:val="none"/>
                      <w:u w:val="none"/>
                      <w:lang w:val="en-US" w:eastAsia="zh-CN" w:bidi="ar"/>
                    </w:rPr>
                    <w:t>进入厂区污水总排口，通过市政污水管网进入蚌埠市第二污水处理厂。</w:t>
                  </w:r>
                  <w:r>
                    <w:rPr>
                      <w:rFonts w:hint="default" w:ascii="Times New Roman" w:hAnsi="Times New Roman" w:eastAsia="宋体" w:cs="Times New Roman"/>
                      <w:i w:val="0"/>
                      <w:iCs w:val="0"/>
                      <w:color w:val="auto"/>
                      <w:kern w:val="0"/>
                      <w:sz w:val="21"/>
                      <w:szCs w:val="21"/>
                      <w:u w:val="none"/>
                      <w:lang w:val="en-US" w:eastAsia="zh-CN" w:bidi="ar"/>
                    </w:rPr>
                    <w:t>蚌埠市第二污水处理厂尾水排放执行《城镇污水处理厂污染物排放标准》（GB18918-2002）中的一级A标准，排入淮河</w:t>
                  </w:r>
                  <w:r>
                    <w:rPr>
                      <w:rFonts w:hint="default" w:ascii="Times New Roman" w:hAnsi="Times New Roman" w:cs="Times New Roman"/>
                      <w:i w:val="0"/>
                      <w:iCs w:val="0"/>
                      <w:color w:val="auto"/>
                      <w:kern w:val="0"/>
                      <w:sz w:val="21"/>
                      <w:szCs w:val="21"/>
                      <w:u w:val="none"/>
                      <w:lang w:val="en-US" w:eastAsia="zh-CN" w:bidi="ar"/>
                    </w:rPr>
                    <w:t>干流蚌埠段</w:t>
                  </w:r>
                  <w:r>
                    <w:rPr>
                      <w:rFonts w:hint="default" w:ascii="Times New Roman" w:hAnsi="Times New Roman" w:eastAsia="宋体" w:cs="Times New Roman"/>
                      <w:i w:val="0"/>
                      <w:iCs w:val="0"/>
                      <w:color w:val="auto"/>
                      <w:kern w:val="0"/>
                      <w:sz w:val="21"/>
                      <w:szCs w:val="21"/>
                      <w:u w:val="none"/>
                      <w:lang w:val="en-US" w:eastAsia="zh-CN" w:bidi="ar"/>
                    </w:rPr>
                    <w:t>，对淮河影响较小；符合水环境、重点管控区的相关管控要求</w:t>
                  </w:r>
                </w:p>
              </w:tc>
            </w:tr>
            <w:tr w14:paraId="1553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4B9292B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大气环境重点管控区</w:t>
                  </w:r>
                </w:p>
              </w:tc>
              <w:tc>
                <w:tcPr>
                  <w:tcW w:w="2452" w:type="pct"/>
                  <w:vAlign w:val="center"/>
                </w:tcPr>
                <w:p w14:paraId="3F24491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落实《“十四五”生态环境保护规划》《安徽省“十四五”环境保护规划》《蚌埠市“十四五”生态环境保护规划》、中共蚌埠市委蚌埠市人民政府关于印发《深入打好污染防治攻坚战实施方案》的通知等要求，严格落实目标，加强环境监管，促进生态环境质量好转。上年度PM2.5不达标城市新建、改建和扩建项目大气污染物实施“倍量替代”，执行特别排放标准的行业实施提标升级改造。</w:t>
                  </w:r>
                </w:p>
              </w:tc>
              <w:tc>
                <w:tcPr>
                  <w:tcW w:w="1927" w:type="pct"/>
                  <w:vAlign w:val="center"/>
                </w:tcPr>
                <w:p w14:paraId="3F3362E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本项目所在区域属于大气环境重点管控区</w:t>
                  </w:r>
                  <w:r>
                    <w:rPr>
                      <w:rFonts w:hint="default" w:ascii="Times New Roman" w:hAnsi="Times New Roman" w:eastAsia="宋体" w:cs="Times New Roman"/>
                      <w:i w:val="0"/>
                      <w:iCs w:val="0"/>
                      <w:color w:val="auto"/>
                      <w:kern w:val="0"/>
                      <w:sz w:val="21"/>
                      <w:szCs w:val="21"/>
                      <w:highlight w:val="none"/>
                      <w:u w:val="none"/>
                      <w:lang w:val="en-US" w:eastAsia="zh-CN" w:bidi="ar"/>
                    </w:rPr>
                    <w:t>；本项目</w:t>
                  </w:r>
                  <w:r>
                    <w:rPr>
                      <w:rFonts w:hint="default" w:ascii="Times New Roman" w:hAnsi="Times New Roman" w:cs="Times New Roman"/>
                      <w:i w:val="0"/>
                      <w:iCs w:val="0"/>
                      <w:color w:val="auto"/>
                      <w:kern w:val="0"/>
                      <w:sz w:val="21"/>
                      <w:szCs w:val="26"/>
                      <w:highlight w:val="none"/>
                      <w:u w:val="none"/>
                      <w:lang w:val="en-US" w:eastAsia="zh-CN" w:bidi="ar"/>
                    </w:rPr>
                    <w:t>注塑</w:t>
                  </w:r>
                  <w:r>
                    <w:rPr>
                      <w:rFonts w:hint="default" w:ascii="Times New Roman" w:hAnsi="Times New Roman" w:eastAsia="宋体" w:cs="Times New Roman"/>
                      <w:i w:val="0"/>
                      <w:iCs w:val="0"/>
                      <w:color w:val="auto"/>
                      <w:kern w:val="0"/>
                      <w:sz w:val="21"/>
                      <w:szCs w:val="26"/>
                      <w:highlight w:val="none"/>
                      <w:u w:val="none"/>
                      <w:lang w:val="en-US" w:eastAsia="zh-CN" w:bidi="ar"/>
                    </w:rPr>
                    <w:t>废气</w:t>
                  </w:r>
                  <w:r>
                    <w:rPr>
                      <w:rFonts w:hint="eastAsia" w:cs="Times New Roman"/>
                      <w:i w:val="0"/>
                      <w:iCs w:val="0"/>
                      <w:color w:val="auto"/>
                      <w:kern w:val="0"/>
                      <w:sz w:val="21"/>
                      <w:szCs w:val="26"/>
                      <w:highlight w:val="none"/>
                      <w:u w:val="none"/>
                      <w:lang w:val="en-US" w:eastAsia="zh-CN" w:bidi="ar"/>
                    </w:rPr>
                    <w:t>经集气罩收集后与喷漆晾干房废气</w:t>
                  </w:r>
                  <w:r>
                    <w:rPr>
                      <w:rFonts w:hint="default" w:ascii="Times New Roman" w:hAnsi="Times New Roman" w:eastAsia="宋体" w:cs="Times New Roman"/>
                      <w:i w:val="0"/>
                      <w:iCs w:val="0"/>
                      <w:color w:val="auto"/>
                      <w:kern w:val="0"/>
                      <w:sz w:val="21"/>
                      <w:szCs w:val="26"/>
                      <w:highlight w:val="none"/>
                      <w:u w:val="none"/>
                      <w:lang w:val="en-US" w:eastAsia="zh-CN" w:bidi="ar"/>
                    </w:rPr>
                    <w:t>经</w:t>
                  </w:r>
                  <w:r>
                    <w:rPr>
                      <w:rFonts w:hint="eastAsia" w:cs="Times New Roman"/>
                      <w:i w:val="0"/>
                      <w:iCs w:val="0"/>
                      <w:color w:val="auto"/>
                      <w:kern w:val="0"/>
                      <w:sz w:val="21"/>
                      <w:szCs w:val="26"/>
                      <w:highlight w:val="none"/>
                      <w:u w:val="none"/>
                      <w:lang w:val="en-US" w:eastAsia="zh-CN" w:bidi="ar"/>
                    </w:rPr>
                    <w:t>过滤棉处理后，一同经</w:t>
                  </w:r>
                  <w:r>
                    <w:rPr>
                      <w:rFonts w:hint="default" w:ascii="Times New Roman" w:hAnsi="Times New Roman" w:cs="Times New Roman"/>
                      <w:i w:val="0"/>
                      <w:iCs w:val="0"/>
                      <w:color w:val="auto"/>
                      <w:kern w:val="0"/>
                      <w:sz w:val="21"/>
                      <w:szCs w:val="26"/>
                      <w:highlight w:val="none"/>
                      <w:u w:val="none"/>
                      <w:lang w:val="en-US" w:eastAsia="zh-CN" w:bidi="ar"/>
                    </w:rPr>
                    <w:t>二级活性炭吸附装置</w:t>
                  </w:r>
                  <w:r>
                    <w:rPr>
                      <w:rFonts w:hint="default" w:ascii="Times New Roman" w:hAnsi="Times New Roman" w:eastAsia="宋体" w:cs="Times New Roman"/>
                      <w:i w:val="0"/>
                      <w:iCs w:val="0"/>
                      <w:color w:val="auto"/>
                      <w:kern w:val="0"/>
                      <w:sz w:val="21"/>
                      <w:szCs w:val="26"/>
                      <w:highlight w:val="none"/>
                      <w:u w:val="none"/>
                      <w:lang w:val="en-US" w:eastAsia="zh-CN" w:bidi="ar"/>
                    </w:rPr>
                    <w:t>+15m高排气筒（DA00</w:t>
                  </w:r>
                  <w:r>
                    <w:rPr>
                      <w:rFonts w:hint="default" w:ascii="Times New Roman" w:hAnsi="Times New Roman" w:cs="Times New Roman"/>
                      <w:i w:val="0"/>
                      <w:iCs w:val="0"/>
                      <w:color w:val="auto"/>
                      <w:kern w:val="0"/>
                      <w:sz w:val="21"/>
                      <w:szCs w:val="26"/>
                      <w:highlight w:val="none"/>
                      <w:u w:val="none"/>
                      <w:lang w:val="en-US" w:eastAsia="zh-CN" w:bidi="ar"/>
                    </w:rPr>
                    <w:t>1</w:t>
                  </w:r>
                  <w:r>
                    <w:rPr>
                      <w:rFonts w:hint="default" w:ascii="Times New Roman" w:hAnsi="Times New Roman" w:eastAsia="宋体" w:cs="Times New Roman"/>
                      <w:i w:val="0"/>
                      <w:iCs w:val="0"/>
                      <w:color w:val="auto"/>
                      <w:kern w:val="0"/>
                      <w:sz w:val="21"/>
                      <w:szCs w:val="26"/>
                      <w:highlight w:val="none"/>
                      <w:u w:val="none"/>
                      <w:lang w:val="en-US" w:eastAsia="zh-CN" w:bidi="ar"/>
                    </w:rPr>
                    <w:t>）处理后排放</w:t>
                  </w:r>
                  <w:r>
                    <w:rPr>
                      <w:rFonts w:hint="eastAsia" w:cs="Times New Roman"/>
                      <w:i w:val="0"/>
                      <w:iCs w:val="0"/>
                      <w:color w:val="auto"/>
                      <w:kern w:val="0"/>
                      <w:sz w:val="21"/>
                      <w:szCs w:val="26"/>
                      <w:highlight w:val="none"/>
                      <w:u w:val="none"/>
                      <w:lang w:val="en-US" w:eastAsia="zh-CN" w:bidi="ar"/>
                    </w:rPr>
                    <w:t>，破碎废气经集气罩+布袋除尘器+</w:t>
                  </w:r>
                  <w:r>
                    <w:rPr>
                      <w:rFonts w:hint="default" w:ascii="Times New Roman" w:hAnsi="Times New Roman" w:eastAsia="宋体" w:cs="Times New Roman"/>
                      <w:i w:val="0"/>
                      <w:iCs w:val="0"/>
                      <w:color w:val="auto"/>
                      <w:kern w:val="0"/>
                      <w:sz w:val="21"/>
                      <w:szCs w:val="26"/>
                      <w:highlight w:val="none"/>
                      <w:u w:val="none"/>
                      <w:lang w:val="en-US" w:eastAsia="zh-CN" w:bidi="ar"/>
                    </w:rPr>
                    <w:t>15m高排气筒（DA00</w:t>
                  </w:r>
                  <w:r>
                    <w:rPr>
                      <w:rFonts w:hint="eastAsia" w:cs="Times New Roman"/>
                      <w:i w:val="0"/>
                      <w:iCs w:val="0"/>
                      <w:color w:val="auto"/>
                      <w:kern w:val="0"/>
                      <w:sz w:val="21"/>
                      <w:szCs w:val="26"/>
                      <w:highlight w:val="none"/>
                      <w:u w:val="none"/>
                      <w:lang w:val="en-US" w:eastAsia="zh-CN" w:bidi="ar"/>
                    </w:rPr>
                    <w:t>2</w:t>
                  </w:r>
                  <w:r>
                    <w:rPr>
                      <w:rFonts w:hint="default" w:ascii="Times New Roman" w:hAnsi="Times New Roman" w:eastAsia="宋体" w:cs="Times New Roman"/>
                      <w:i w:val="0"/>
                      <w:iCs w:val="0"/>
                      <w:color w:val="auto"/>
                      <w:kern w:val="0"/>
                      <w:sz w:val="21"/>
                      <w:szCs w:val="26"/>
                      <w:highlight w:val="none"/>
                      <w:u w:val="none"/>
                      <w:lang w:val="en-US" w:eastAsia="zh-CN" w:bidi="ar"/>
                    </w:rPr>
                    <w:t>）处理后排放</w:t>
                  </w:r>
                  <w:r>
                    <w:rPr>
                      <w:rFonts w:hint="default" w:ascii="Times New Roman" w:hAnsi="Times New Roman"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对区域环境影响较小，符合大气环境重点管控区的相关管控要求</w:t>
                  </w:r>
                </w:p>
              </w:tc>
            </w:tr>
            <w:tr w14:paraId="4BB6E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2BC458F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土壤</w:t>
                  </w:r>
                  <w:r>
                    <w:rPr>
                      <w:rFonts w:hint="default" w:ascii="Times New Roman" w:hAnsi="Times New Roman" w:eastAsia="宋体" w:cs="Times New Roman"/>
                      <w:i w:val="0"/>
                      <w:iCs w:val="0"/>
                      <w:color w:val="auto"/>
                      <w:kern w:val="0"/>
                      <w:sz w:val="21"/>
                      <w:szCs w:val="21"/>
                      <w:u w:val="none"/>
                      <w:lang w:val="en-US" w:eastAsia="zh-CN" w:bidi="ar"/>
                    </w:rPr>
                    <w:t>一般管控区</w:t>
                  </w:r>
                </w:p>
              </w:tc>
              <w:tc>
                <w:tcPr>
                  <w:tcW w:w="2452" w:type="pct"/>
                  <w:vAlign w:val="center"/>
                </w:tcPr>
                <w:p w14:paraId="211393F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依据《中华人民共和国土壤污染防治法》《土壤污染防治行动计划》《农用地土壤环境管理办法（试行）》《工矿用地土壤环境管理办法（试行）》《“十四五”生态环境保护规划》《安徽省“十四五”环境保护规划》《安徽省重金属污染防控工作方案》《蚌埠市十四五生态环境保护规划》《蚌埠市土壤污染防治规划（2021-2025年）》《蚌埠市“十四五”危险废物</w:t>
                  </w:r>
                  <w:r>
                    <w:rPr>
                      <w:rFonts w:hint="default" w:ascii="Times New Roman" w:hAnsi="Times New Roman" w:cs="Times New Roman"/>
                      <w:i w:val="0"/>
                      <w:iCs w:val="0"/>
                      <w:color w:val="auto"/>
                      <w:kern w:val="0"/>
                      <w:sz w:val="21"/>
                      <w:szCs w:val="21"/>
                      <w:u w:val="none"/>
                      <w:lang w:val="en-US" w:eastAsia="zh-CN" w:bidi="ar"/>
                    </w:rPr>
                    <w:t>和</w:t>
                  </w:r>
                  <w:r>
                    <w:rPr>
                      <w:rFonts w:hint="default" w:ascii="Times New Roman" w:hAnsi="Times New Roman" w:eastAsia="宋体" w:cs="Times New Roman"/>
                      <w:i w:val="0"/>
                      <w:iCs w:val="0"/>
                      <w:color w:val="auto"/>
                      <w:kern w:val="0"/>
                      <w:sz w:val="21"/>
                      <w:szCs w:val="21"/>
                      <w:u w:val="none"/>
                      <w:lang w:val="en-US" w:eastAsia="zh-CN" w:bidi="ar"/>
                    </w:rPr>
                    <w:t>工业固体废物污染环境防治规划》《蚌埠市医疗废物管理条例》等要求及各市土壤污染防治工作方案对一般管控区实施管控。</w:t>
                  </w:r>
                </w:p>
              </w:tc>
              <w:tc>
                <w:tcPr>
                  <w:tcW w:w="1927" w:type="pct"/>
                  <w:vAlign w:val="center"/>
                </w:tcPr>
                <w:p w14:paraId="021783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本项目所在区域属于土壤环境一般管控区；危废库</w:t>
                  </w:r>
                  <w:r>
                    <w:rPr>
                      <w:rFonts w:hint="eastAsia" w:cs="Times New Roman"/>
                      <w:i w:val="0"/>
                      <w:iCs w:val="0"/>
                      <w:color w:val="auto"/>
                      <w:kern w:val="0"/>
                      <w:sz w:val="21"/>
                      <w:szCs w:val="21"/>
                      <w:u w:val="none"/>
                      <w:lang w:val="en-US" w:eastAsia="zh-CN" w:bidi="ar"/>
                    </w:rPr>
                    <w:t>、喷漆房</w:t>
                  </w:r>
                  <w:r>
                    <w:rPr>
                      <w:rFonts w:hint="default" w:ascii="Times New Roman" w:hAnsi="Times New Roman" w:eastAsia="宋体" w:cs="Times New Roman"/>
                      <w:i w:val="0"/>
                      <w:iCs w:val="0"/>
                      <w:color w:val="auto"/>
                      <w:kern w:val="0"/>
                      <w:sz w:val="21"/>
                      <w:szCs w:val="21"/>
                      <w:u w:val="none"/>
                      <w:lang w:val="en-US" w:eastAsia="zh-CN" w:bidi="ar"/>
                    </w:rPr>
                    <w:t>按要求做好重点防渗措施；其他区域采取水泥硬化地面</w:t>
                  </w:r>
                  <w:r>
                    <w:rPr>
                      <w:rFonts w:hint="eastAsia" w:cs="Times New Roman"/>
                      <w:i w:val="0"/>
                      <w:iCs w:val="0"/>
                      <w:color w:val="auto"/>
                      <w:kern w:val="0"/>
                      <w:sz w:val="21"/>
                      <w:szCs w:val="21"/>
                      <w:u w:val="none"/>
                      <w:lang w:val="en-US" w:eastAsia="zh-CN" w:bidi="ar"/>
                    </w:rPr>
                    <w:t>等简单防渗</w:t>
                  </w:r>
                  <w:r>
                    <w:rPr>
                      <w:rFonts w:hint="default" w:ascii="Times New Roman" w:hAnsi="Times New Roman" w:eastAsia="宋体" w:cs="Times New Roman"/>
                      <w:i w:val="0"/>
                      <w:iCs w:val="0"/>
                      <w:color w:val="auto"/>
                      <w:kern w:val="0"/>
                      <w:sz w:val="21"/>
                      <w:szCs w:val="21"/>
                      <w:u w:val="none"/>
                      <w:lang w:val="en-US" w:eastAsia="zh-CN" w:bidi="ar"/>
                    </w:rPr>
                    <w:t>，符合土壤环境一般管控区的相关管控要求</w:t>
                  </w:r>
                </w:p>
              </w:tc>
            </w:tr>
          </w:tbl>
          <w:p w14:paraId="623C59FF">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综上所述，本项目建设符合分区管控的要求。</w:t>
            </w:r>
          </w:p>
          <w:p w14:paraId="3D7687BB">
            <w:pPr>
              <w:autoSpaceDE w:val="0"/>
              <w:spacing w:line="360" w:lineRule="auto"/>
              <w:ind w:firstLine="482" w:firstLineChars="0"/>
              <w:jc w:val="left"/>
              <w:rPr>
                <w:rFonts w:hint="default" w:ascii="Times New Roman" w:hAnsi="Times New Roman" w:eastAsia="宋体" w:cs="Times New Roman"/>
                <w:color w:val="auto"/>
                <w:sz w:val="24"/>
                <w:lang w:val="zh-CN"/>
              </w:rPr>
            </w:pPr>
            <w:r>
              <w:rPr>
                <w:rFonts w:hint="default" w:ascii="Times New Roman" w:hAnsi="Times New Roman" w:eastAsia="宋体" w:cs="Times New Roman"/>
                <w:color w:val="auto"/>
                <w:sz w:val="24"/>
                <w:lang w:val="zh-CN"/>
              </w:rPr>
              <w:t>（</w:t>
            </w:r>
            <w:r>
              <w:rPr>
                <w:rFonts w:hint="default"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val="zh-CN"/>
              </w:rPr>
              <w:t>）资源利用上线</w:t>
            </w:r>
          </w:p>
          <w:p w14:paraId="32F24A20">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表1-6  与其他风险防控分区管控要求的协调性分析</w:t>
            </w:r>
          </w:p>
          <w:tbl>
            <w:tblPr>
              <w:tblStyle w:val="26"/>
              <w:tblW w:w="10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4066"/>
              <w:gridCol w:w="2657"/>
              <w:gridCol w:w="2657"/>
            </w:tblGrid>
            <w:tr w14:paraId="2738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 w:type="pct"/>
                  <w:vAlign w:val="center"/>
                </w:tcPr>
                <w:p w14:paraId="32F9B62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管控单元分类</w:t>
                  </w:r>
                </w:p>
              </w:tc>
              <w:tc>
                <w:tcPr>
                  <w:tcW w:w="1973" w:type="pct"/>
                  <w:vAlign w:val="center"/>
                </w:tcPr>
                <w:p w14:paraId="6F4949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环境管控要求</w:t>
                  </w:r>
                </w:p>
              </w:tc>
              <w:tc>
                <w:tcPr>
                  <w:tcW w:w="1289" w:type="pct"/>
                  <w:vAlign w:val="center"/>
                </w:tcPr>
                <w:p w14:paraId="7A4879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协调性分析</w:t>
                  </w:r>
                </w:p>
              </w:tc>
              <w:tc>
                <w:tcPr>
                  <w:tcW w:w="1289" w:type="pct"/>
                  <w:vAlign w:val="center"/>
                </w:tcPr>
                <w:p w14:paraId="7319CA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p>
              </w:tc>
            </w:tr>
            <w:tr w14:paraId="229F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 w:type="pct"/>
                  <w:vAlign w:val="center"/>
                </w:tcPr>
                <w:p w14:paraId="26AA07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水资源一般管控区</w:t>
                  </w:r>
                </w:p>
              </w:tc>
              <w:tc>
                <w:tcPr>
                  <w:tcW w:w="1973" w:type="pct"/>
                  <w:vAlign w:val="center"/>
                </w:tcPr>
                <w:p w14:paraId="255EBD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落实《国务院办公厅关于印发实行最严格水资源管理制度考核办法的通知》、《关于印发“十四五”用水总量和强度双控目标的通知》、《蚌埠市水利局关于落实“十四五”用水总量和强度双控目标的通知》等要求。</w:t>
                  </w:r>
                </w:p>
              </w:tc>
              <w:tc>
                <w:tcPr>
                  <w:tcW w:w="1289" w:type="pct"/>
                  <w:vAlign w:val="center"/>
                </w:tcPr>
                <w:p w14:paraId="3BB8D1B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本项目所在区域属于水资源一般管控区；本项目建成后用水由园区自来水管网供水，</w:t>
                  </w:r>
                  <w:r>
                    <w:rPr>
                      <w:rFonts w:hint="default" w:ascii="Times New Roman" w:hAnsi="Times New Roman" w:eastAsia="宋体" w:cs="Times New Roman"/>
                      <w:i w:val="0"/>
                      <w:iCs w:val="0"/>
                      <w:color w:val="auto"/>
                      <w:kern w:val="0"/>
                      <w:sz w:val="21"/>
                      <w:szCs w:val="21"/>
                      <w:highlight w:val="none"/>
                      <w:u w:val="none"/>
                      <w:lang w:val="en-US" w:eastAsia="zh-CN" w:bidi="ar"/>
                    </w:rPr>
                    <w:t>符合水资源一</w:t>
                  </w:r>
                  <w:r>
                    <w:rPr>
                      <w:rFonts w:hint="default" w:ascii="Times New Roman" w:hAnsi="Times New Roman" w:eastAsia="宋体" w:cs="Times New Roman"/>
                      <w:i w:val="0"/>
                      <w:iCs w:val="0"/>
                      <w:color w:val="auto"/>
                      <w:kern w:val="0"/>
                      <w:sz w:val="21"/>
                      <w:szCs w:val="21"/>
                      <w:u w:val="none"/>
                      <w:lang w:val="en-US" w:eastAsia="zh-CN" w:bidi="ar"/>
                    </w:rPr>
                    <w:t>般管控区的相关管控要求。</w:t>
                  </w:r>
                </w:p>
              </w:tc>
              <w:tc>
                <w:tcPr>
                  <w:tcW w:w="1289" w:type="pct"/>
                  <w:vAlign w:val="center"/>
                </w:tcPr>
                <w:p w14:paraId="00610E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r>
            <w:tr w14:paraId="0A9C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 w:type="pct"/>
                  <w:vAlign w:val="center"/>
                </w:tcPr>
                <w:p w14:paraId="48C1D8F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煤炭资源重点管控区</w:t>
                  </w:r>
                </w:p>
              </w:tc>
              <w:tc>
                <w:tcPr>
                  <w:tcW w:w="1973" w:type="pct"/>
                  <w:vAlign w:val="center"/>
                </w:tcPr>
                <w:p w14:paraId="66A3E7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高污染燃料禁燃区内，禁止销售、燃用高污染燃料；禁止新建、扩建燃用高污染燃料的设施（新建、改建集中供热和现有火电厂锅炉改造的除外，但煤炭消费量和污染物排放总量需满足相关规定要求），已建成的，应当改用天然气、液化石油气、电或者其他清洁能源</w:t>
                  </w:r>
                </w:p>
              </w:tc>
              <w:tc>
                <w:tcPr>
                  <w:tcW w:w="1289" w:type="pct"/>
                  <w:vAlign w:val="center"/>
                </w:tcPr>
                <w:p w14:paraId="76FB358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本项目所在区域属于高污染燃料禁燃区，本次项目不使用煤炭，符合煤炭资源重点管控区的相关管控要求。</w:t>
                  </w:r>
                </w:p>
              </w:tc>
              <w:tc>
                <w:tcPr>
                  <w:tcW w:w="1289" w:type="pct"/>
                  <w:vAlign w:val="center"/>
                </w:tcPr>
                <w:p w14:paraId="59DCDFF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r>
          </w:tbl>
          <w:p w14:paraId="2C1EFA99">
            <w:pPr>
              <w:autoSpaceDE w:val="0"/>
              <w:spacing w:line="360" w:lineRule="auto"/>
              <w:ind w:firstLine="482" w:firstLineChars="0"/>
              <w:jc w:val="left"/>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zh-CN"/>
              </w:rPr>
              <w:t>本项目位于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eastAsia="宋体" w:cs="Times New Roman"/>
                <w:color w:val="auto"/>
                <w:sz w:val="24"/>
                <w:lang w:val="zh-CN"/>
              </w:rPr>
              <w:t>，项目用水来自市政供水管网，用水量较小，不会突破资源利用上线；本项目占地为工业用地，项目用地符合当地土地规划要求，亦不会突破资源利用上线。</w:t>
            </w:r>
          </w:p>
          <w:p w14:paraId="75885E34">
            <w:pPr>
              <w:numPr>
                <w:ilvl w:val="0"/>
                <w:numId w:val="2"/>
              </w:numPr>
              <w:autoSpaceDE w:val="0"/>
              <w:spacing w:line="360" w:lineRule="auto"/>
              <w:ind w:firstLine="482" w:firstLineChars="0"/>
              <w:jc w:val="left"/>
              <w:rPr>
                <w:rFonts w:hint="default" w:ascii="Times New Roman" w:hAnsi="Times New Roman" w:eastAsia="宋体" w:cs="Times New Roman"/>
                <w:color w:val="auto"/>
                <w:sz w:val="24"/>
                <w:lang w:val="zh-CN"/>
              </w:rPr>
            </w:pPr>
            <w:r>
              <w:rPr>
                <w:rFonts w:hint="default" w:ascii="Times New Roman" w:hAnsi="Times New Roman" w:eastAsia="宋体" w:cs="Times New Roman"/>
                <w:color w:val="auto"/>
                <w:sz w:val="24"/>
                <w:lang w:val="zh-CN"/>
              </w:rPr>
              <w:t>生态环境准入清单</w:t>
            </w:r>
          </w:p>
          <w:p w14:paraId="42BDB72F">
            <w:pPr>
              <w:pStyle w:val="82"/>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highlight w:val="none"/>
              </w:rPr>
              <w:t>根据《蚌埠市高铁工贸园区</w:t>
            </w:r>
            <w:r>
              <w:rPr>
                <w:rFonts w:hint="default" w:ascii="Times New Roman" w:hAnsi="Times New Roman" w:cs="Times New Roman"/>
                <w:color w:val="auto"/>
                <w:highlight w:val="none"/>
                <w:lang w:val="en-US" w:eastAsia="zh-CN"/>
              </w:rPr>
              <w:t>总体发展</w:t>
            </w:r>
            <w:r>
              <w:rPr>
                <w:rFonts w:hint="default" w:ascii="Times New Roman" w:hAnsi="Times New Roman" w:cs="Times New Roman"/>
                <w:color w:val="auto"/>
                <w:highlight w:val="none"/>
              </w:rPr>
              <w:t>规划</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2025—2035</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环境影响报告书》，本次项目不涉及限制、淘汰类项目。</w:t>
            </w:r>
          </w:p>
          <w:p w14:paraId="7B10B44A">
            <w:pPr>
              <w:pStyle w:val="80"/>
              <w:rPr>
                <w:rFonts w:hint="default" w:ascii="Times New Roman" w:hAnsi="Times New Roman" w:cs="Times New Roman"/>
                <w:color w:val="auto"/>
              </w:rPr>
            </w:pPr>
            <w:r>
              <w:rPr>
                <w:rFonts w:hint="default" w:ascii="Times New Roman" w:hAnsi="Times New Roman" w:cs="Times New Roman"/>
                <w:color w:val="auto"/>
              </w:rPr>
              <w:t>表1-</w:t>
            </w:r>
            <w:r>
              <w:rPr>
                <w:rFonts w:hint="default" w:ascii="Times New Roman" w:hAnsi="Times New Roman" w:cs="Times New Roman"/>
                <w:color w:val="auto"/>
                <w:lang w:val="en-US" w:eastAsia="zh-CN"/>
              </w:rPr>
              <w:t>7</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 xml:space="preserve"> 项目</w:t>
            </w:r>
            <w:r>
              <w:rPr>
                <w:rFonts w:hint="default" w:ascii="Times New Roman" w:hAnsi="Times New Roman" w:cs="Times New Roman"/>
                <w:color w:val="auto"/>
              </w:rPr>
              <w:t>与园区环境准入清单相符性分析</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877"/>
              <w:gridCol w:w="1973"/>
              <w:gridCol w:w="4118"/>
            </w:tblGrid>
            <w:tr w14:paraId="015FE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noWrap/>
                  <w:vAlign w:val="center"/>
                </w:tcPr>
                <w:p w14:paraId="35737552">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t>类别</w:t>
                  </w:r>
                </w:p>
              </w:tc>
              <w:tc>
                <w:tcPr>
                  <w:tcW w:w="579" w:type="pct"/>
                  <w:noWrap/>
                  <w:vAlign w:val="center"/>
                </w:tcPr>
                <w:p w14:paraId="7B89E48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br w:type="page"/>
                  </w:r>
                  <w:r>
                    <w:rPr>
                      <w:rFonts w:hint="default" w:ascii="Times New Roman" w:hAnsi="Times New Roman" w:eastAsia="宋体" w:cs="Times New Roman"/>
                      <w:b/>
                      <w:bCs/>
                      <w:i w:val="0"/>
                      <w:iCs w:val="0"/>
                      <w:color w:val="auto"/>
                      <w:kern w:val="0"/>
                      <w:sz w:val="21"/>
                      <w:szCs w:val="26"/>
                      <w:u w:val="none"/>
                      <w:lang w:val="en-US" w:eastAsia="zh-CN" w:bidi="ar"/>
                    </w:rPr>
                    <w:t>主导产业</w:t>
                  </w:r>
                </w:p>
              </w:tc>
              <w:tc>
                <w:tcPr>
                  <w:tcW w:w="4024" w:type="pct"/>
                  <w:gridSpan w:val="2"/>
                  <w:noWrap/>
                  <w:vAlign w:val="center"/>
                </w:tcPr>
                <w:p w14:paraId="3E338F8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6"/>
                      <w:u w:val="none"/>
                      <w:lang w:val="en-US" w:eastAsia="zh-CN" w:bidi="ar"/>
                    </w:rPr>
                  </w:pPr>
                  <w:r>
                    <w:rPr>
                      <w:rFonts w:hint="default" w:ascii="Times New Roman" w:hAnsi="Times New Roman" w:eastAsia="宋体" w:cs="Times New Roman"/>
                      <w:b/>
                      <w:bCs/>
                      <w:i w:val="0"/>
                      <w:iCs w:val="0"/>
                      <w:color w:val="auto"/>
                      <w:kern w:val="0"/>
                      <w:sz w:val="21"/>
                      <w:szCs w:val="26"/>
                      <w:u w:val="none"/>
                      <w:lang w:val="en-US" w:eastAsia="zh-CN" w:bidi="ar"/>
                    </w:rPr>
                    <w:t>行业类别</w:t>
                  </w:r>
                </w:p>
              </w:tc>
            </w:tr>
            <w:tr w14:paraId="613D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restart"/>
                  <w:noWrap/>
                  <w:vAlign w:val="center"/>
                </w:tcPr>
                <w:p w14:paraId="1B40CD9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鼓励类</w:t>
                  </w:r>
                </w:p>
              </w:tc>
              <w:tc>
                <w:tcPr>
                  <w:tcW w:w="579" w:type="pct"/>
                  <w:vMerge w:val="restart"/>
                  <w:noWrap/>
                  <w:vAlign w:val="center"/>
                </w:tcPr>
                <w:p w14:paraId="433930F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先进无机非金属材料</w:t>
                  </w:r>
                </w:p>
              </w:tc>
              <w:tc>
                <w:tcPr>
                  <w:tcW w:w="1304" w:type="pct"/>
                  <w:vMerge w:val="restart"/>
                  <w:noWrap/>
                  <w:vAlign w:val="center"/>
                </w:tcPr>
                <w:p w14:paraId="78B08AF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30非金属矿物制品业</w:t>
                  </w:r>
                </w:p>
              </w:tc>
              <w:tc>
                <w:tcPr>
                  <w:tcW w:w="2720" w:type="pct"/>
                  <w:noWrap/>
                  <w:vAlign w:val="center"/>
                </w:tcPr>
                <w:p w14:paraId="4F8FDDF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304玻璃制造（不含“两高”项目）</w:t>
                  </w:r>
                </w:p>
              </w:tc>
            </w:tr>
            <w:tr w14:paraId="62AF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443819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0CE3E1D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6304348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1CFA9F5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305玻璃制品制造</w:t>
                  </w:r>
                </w:p>
              </w:tc>
            </w:tr>
            <w:tr w14:paraId="1A47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2204B9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01EA780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E4747E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7DF6E0F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306玻璃纤维和玻璃纤维增强塑料制品制造</w:t>
                  </w:r>
                </w:p>
              </w:tc>
            </w:tr>
            <w:tr w14:paraId="3D2C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3DA4719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36FE604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7E755C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078043B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309石墨及其他非金属矿物制品制造（不包含3091铝用碳素）</w:t>
                  </w:r>
                </w:p>
              </w:tc>
            </w:tr>
            <w:tr w14:paraId="0D80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vMerge w:val="continue"/>
                  <w:vAlign w:val="center"/>
                </w:tcPr>
                <w:p w14:paraId="44F8A3E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restart"/>
                  <w:noWrap/>
                  <w:vAlign w:val="center"/>
                </w:tcPr>
                <w:p w14:paraId="384C87B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相关服务业</w:t>
                  </w:r>
                </w:p>
              </w:tc>
              <w:tc>
                <w:tcPr>
                  <w:tcW w:w="1304" w:type="pct"/>
                  <w:vMerge w:val="restart"/>
                  <w:noWrap/>
                  <w:vAlign w:val="center"/>
                </w:tcPr>
                <w:p w14:paraId="57965F9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59装卸搬运和仓储业</w:t>
                  </w:r>
                </w:p>
              </w:tc>
              <w:tc>
                <w:tcPr>
                  <w:tcW w:w="2720" w:type="pct"/>
                  <w:noWrap/>
                  <w:vAlign w:val="center"/>
                </w:tcPr>
                <w:p w14:paraId="4B2C2CF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592通用仓储</w:t>
                  </w:r>
                </w:p>
              </w:tc>
            </w:tr>
            <w:tr w14:paraId="1888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vMerge w:val="continue"/>
                  <w:vAlign w:val="center"/>
                </w:tcPr>
                <w:p w14:paraId="47431E0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30B2C96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62D0A3B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25698E0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593道路货物运输</w:t>
                  </w:r>
                </w:p>
              </w:tc>
            </w:tr>
            <w:tr w14:paraId="4398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vMerge w:val="continue"/>
                  <w:vAlign w:val="center"/>
                </w:tcPr>
                <w:p w14:paraId="6F11D2C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restart"/>
                  <w:noWrap/>
                  <w:vAlign w:val="center"/>
                </w:tcPr>
                <w:p w14:paraId="24C119B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高端装备制造</w:t>
                  </w:r>
                </w:p>
              </w:tc>
              <w:tc>
                <w:tcPr>
                  <w:tcW w:w="1304" w:type="pct"/>
                  <w:vMerge w:val="restart"/>
                  <w:noWrap/>
                  <w:vAlign w:val="center"/>
                </w:tcPr>
                <w:p w14:paraId="4F16A11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34通用设备制造业</w:t>
                  </w:r>
                </w:p>
              </w:tc>
              <w:tc>
                <w:tcPr>
                  <w:tcW w:w="2720" w:type="pct"/>
                  <w:noWrap/>
                  <w:vAlign w:val="center"/>
                </w:tcPr>
                <w:p w14:paraId="2EF0CD4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341锅炉及原动设备制造</w:t>
                  </w:r>
                </w:p>
              </w:tc>
            </w:tr>
            <w:tr w14:paraId="0CBD5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7A44618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6FFB266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54FE9C0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52223F7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342金属加工机械制造</w:t>
                  </w:r>
                </w:p>
              </w:tc>
            </w:tr>
            <w:tr w14:paraId="6047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213ADD5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15A1455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506F6A7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2358011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343物料搬运设备制造</w:t>
                  </w:r>
                </w:p>
              </w:tc>
            </w:tr>
            <w:tr w14:paraId="46EA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2D55672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2DA7811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0ADC377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40F674B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344泵、阀门、压缩机及类似机械制造</w:t>
                  </w:r>
                </w:p>
              </w:tc>
            </w:tr>
            <w:tr w14:paraId="05455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3FBF8DF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2AB4C43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667991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6B8DC932">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345轴承、齿轮和传动部件制造</w:t>
                  </w:r>
                </w:p>
              </w:tc>
            </w:tr>
            <w:tr w14:paraId="0B37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5B274C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04DAAFD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0C8AA93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4453341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346烘炉、风机、包装等设备制造</w:t>
                  </w:r>
                </w:p>
              </w:tc>
            </w:tr>
            <w:tr w14:paraId="35DA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026ED51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3E8A1BE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563FB17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1FA978A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348通用零部件制造</w:t>
                  </w:r>
                </w:p>
              </w:tc>
            </w:tr>
            <w:tr w14:paraId="5776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1789A2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40675DE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BAFC63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3FD2BF8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349其他通用设备制造业</w:t>
                  </w:r>
                </w:p>
              </w:tc>
            </w:tr>
            <w:tr w14:paraId="1770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03BBB50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37425DC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restart"/>
                  <w:noWrap/>
                  <w:vAlign w:val="center"/>
                </w:tcPr>
                <w:p w14:paraId="260FAB9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35专用设备制造业</w:t>
                  </w:r>
                </w:p>
              </w:tc>
              <w:tc>
                <w:tcPr>
                  <w:tcW w:w="2720" w:type="pct"/>
                  <w:noWrap/>
                  <w:vAlign w:val="center"/>
                </w:tcPr>
                <w:p w14:paraId="1371D65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351采矿、冶金、建筑专用设备制造</w:t>
                  </w:r>
                </w:p>
              </w:tc>
            </w:tr>
            <w:tr w14:paraId="6D464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2AA56CC2">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5191DA1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2E15DF0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7BC32EC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352化工、木材、非金属加工专用设备制造</w:t>
                  </w:r>
                </w:p>
              </w:tc>
            </w:tr>
            <w:tr w14:paraId="243B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0C58285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41263B9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3E34E01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557D5D3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356电子和电工机械专用设备制造</w:t>
                  </w:r>
                </w:p>
              </w:tc>
            </w:tr>
            <w:tr w14:paraId="67B18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03746FA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1839AC2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7615552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589A91B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358医疗仪器设备及器械制造</w:t>
                  </w:r>
                </w:p>
              </w:tc>
            </w:tr>
            <w:tr w14:paraId="1C6F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F0C28E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4E79DA1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restart"/>
                  <w:noWrap/>
                  <w:vAlign w:val="center"/>
                </w:tcPr>
                <w:p w14:paraId="7258771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37铁路、船舶、航空航天和其他运输设备制造业</w:t>
                  </w:r>
                </w:p>
              </w:tc>
              <w:tc>
                <w:tcPr>
                  <w:tcW w:w="2720" w:type="pct"/>
                  <w:noWrap/>
                  <w:vAlign w:val="center"/>
                </w:tcPr>
                <w:p w14:paraId="29A9C0E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371铁路运输设备制造</w:t>
                  </w:r>
                </w:p>
              </w:tc>
            </w:tr>
            <w:tr w14:paraId="7763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6413CD0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2E42C1B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20C425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71FD94D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372城市轨道交通设备制造</w:t>
                  </w:r>
                </w:p>
              </w:tc>
            </w:tr>
            <w:tr w14:paraId="7F0A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6297BFA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6F45AFB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00B81D8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0240C64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373船舶及相关装置制造</w:t>
                  </w:r>
                </w:p>
              </w:tc>
            </w:tr>
            <w:tr w14:paraId="3AE8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1BA9EDC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2DE52FC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11D7DAD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5F35BCB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374航天、航空器及设备制造</w:t>
                  </w:r>
                </w:p>
              </w:tc>
            </w:tr>
            <w:tr w14:paraId="556C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vMerge w:val="continue"/>
                  <w:vAlign w:val="center"/>
                </w:tcPr>
                <w:p w14:paraId="6C7358C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noWrap/>
                  <w:vAlign w:val="center"/>
                </w:tcPr>
                <w:p w14:paraId="6E4A218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新能源</w:t>
                  </w:r>
                </w:p>
              </w:tc>
              <w:tc>
                <w:tcPr>
                  <w:tcW w:w="1304" w:type="pct"/>
                  <w:noWrap/>
                  <w:vAlign w:val="center"/>
                </w:tcPr>
                <w:p w14:paraId="57B7AB8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36汽车制造业</w:t>
                  </w:r>
                </w:p>
              </w:tc>
              <w:tc>
                <w:tcPr>
                  <w:tcW w:w="2720" w:type="pct"/>
                  <w:noWrap/>
                  <w:vAlign w:val="center"/>
                </w:tcPr>
                <w:p w14:paraId="5E3ED4F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367汽车零部件及配件制造</w:t>
                  </w:r>
                </w:p>
              </w:tc>
            </w:tr>
            <w:tr w14:paraId="260E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95" w:type="pct"/>
                  <w:vMerge w:val="continue"/>
                  <w:vAlign w:val="center"/>
                </w:tcPr>
                <w:p w14:paraId="45AC579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restart"/>
                  <w:noWrap/>
                  <w:vAlign w:val="center"/>
                </w:tcPr>
                <w:p w14:paraId="095D35F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新一代信息技术</w:t>
                  </w:r>
                </w:p>
              </w:tc>
              <w:tc>
                <w:tcPr>
                  <w:tcW w:w="1304" w:type="pct"/>
                  <w:vMerge w:val="restart"/>
                  <w:noWrap/>
                  <w:vAlign w:val="center"/>
                </w:tcPr>
                <w:p w14:paraId="2972969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38电气机械和器材制造业</w:t>
                  </w:r>
                </w:p>
              </w:tc>
              <w:tc>
                <w:tcPr>
                  <w:tcW w:w="2720" w:type="pct"/>
                  <w:noWrap/>
                  <w:vAlign w:val="center"/>
                </w:tcPr>
                <w:p w14:paraId="4BF580C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381电机制造</w:t>
                  </w:r>
                </w:p>
              </w:tc>
            </w:tr>
            <w:tr w14:paraId="66DB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0E93A73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704EE6C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177CF1D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45E51811">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382输配电及控制设备制造</w:t>
                  </w:r>
                </w:p>
              </w:tc>
            </w:tr>
            <w:tr w14:paraId="0ED6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6651C5D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31F3ED49">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2E613A3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35621ED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384电池制造（不含3843铅酸蓄电池）</w:t>
                  </w:r>
                </w:p>
              </w:tc>
            </w:tr>
            <w:tr w14:paraId="11C2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53715D3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4A3EF518">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restart"/>
                  <w:noWrap/>
                  <w:vAlign w:val="center"/>
                </w:tcPr>
                <w:p w14:paraId="2E523217">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39计算机、通信和其他电子设备制造业</w:t>
                  </w:r>
                </w:p>
              </w:tc>
              <w:tc>
                <w:tcPr>
                  <w:tcW w:w="2720" w:type="pct"/>
                  <w:noWrap/>
                  <w:vAlign w:val="center"/>
                </w:tcPr>
                <w:p w14:paraId="79A6AC3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392通信设备制造</w:t>
                  </w:r>
                </w:p>
              </w:tc>
            </w:tr>
            <w:tr w14:paraId="3BEC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4AF7D370">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6A75EBD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4405DB22">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66BB87E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397电子器件制造</w:t>
                  </w:r>
                </w:p>
              </w:tc>
            </w:tr>
            <w:tr w14:paraId="38C9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4D72E25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01000306">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197A51C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46C80D9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398电子元件及电子专用材料制造</w:t>
                  </w:r>
                </w:p>
              </w:tc>
            </w:tr>
            <w:tr w14:paraId="16D1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6B4F594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vMerge w:val="continue"/>
                  <w:vAlign w:val="center"/>
                </w:tcPr>
                <w:p w14:paraId="5702018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1304" w:type="pct"/>
                  <w:vMerge w:val="continue"/>
                  <w:vAlign w:val="center"/>
                </w:tcPr>
                <w:p w14:paraId="7ABDF69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2720" w:type="pct"/>
                  <w:noWrap/>
                  <w:vAlign w:val="center"/>
                </w:tcPr>
                <w:p w14:paraId="7C4B1AB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399其他电子设备制造</w:t>
                  </w:r>
                </w:p>
              </w:tc>
            </w:tr>
            <w:tr w14:paraId="29D1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vMerge w:val="continue"/>
                  <w:vAlign w:val="center"/>
                </w:tcPr>
                <w:p w14:paraId="7D65D26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p>
              </w:tc>
              <w:tc>
                <w:tcPr>
                  <w:tcW w:w="579" w:type="pct"/>
                  <w:noWrap/>
                  <w:vAlign w:val="center"/>
                </w:tcPr>
                <w:p w14:paraId="5799EB8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节能环保</w:t>
                  </w:r>
                </w:p>
              </w:tc>
              <w:tc>
                <w:tcPr>
                  <w:tcW w:w="1304" w:type="pct"/>
                  <w:noWrap/>
                  <w:vAlign w:val="center"/>
                </w:tcPr>
                <w:p w14:paraId="4C5E550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77生态环境保护和环境治理业</w:t>
                  </w:r>
                </w:p>
              </w:tc>
              <w:tc>
                <w:tcPr>
                  <w:tcW w:w="2720" w:type="pct"/>
                  <w:noWrap/>
                  <w:vAlign w:val="center"/>
                </w:tcPr>
                <w:p w14:paraId="479CC03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772环境治理业</w:t>
                  </w:r>
                </w:p>
              </w:tc>
            </w:tr>
            <w:tr w14:paraId="60D1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noWrap/>
                  <w:vAlign w:val="center"/>
                </w:tcPr>
                <w:p w14:paraId="0B9A97D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有条件进入类</w:t>
                  </w:r>
                </w:p>
              </w:tc>
              <w:tc>
                <w:tcPr>
                  <w:tcW w:w="4604" w:type="pct"/>
                  <w:gridSpan w:val="3"/>
                  <w:noWrap/>
                  <w:vAlign w:val="center"/>
                </w:tcPr>
                <w:p w14:paraId="1CC94E04">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1）两高行业需满足《生态环境部关于加强高耗能、高排放建设项目生态环境源头防控的指导意见》《安徽省节能减排及应对气候变化工作领导小组关于进一步加强新上“两高”项目管理的通知》等两高文件要求，且不得新增区域污染物排放总量，远期根据区域环境质量现状，确保区域环境质量有所改善，且经过充分的环境影响论证；</w:t>
                  </w:r>
                </w:p>
                <w:p w14:paraId="65CD3CC8">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（2）与主导产业链配套的其他相关产业，且经过充分的环境影响论证；</w:t>
                  </w:r>
                </w:p>
                <w:p w14:paraId="4885C3A0">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（3）限制发展能源、资源消耗量或排污量较大但效益相对较好的企业，主要为除主导产业外、非禁止类项目，具体项目引入需经充分环境影响论证；</w:t>
                  </w:r>
                </w:p>
                <w:p w14:paraId="152DF997">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（4）排放废水第一类污染物、重金属及难生化降解的项目，需充分论证环境影响及项目可行性，待蚌埠市龙子湖区工业污水处理厂投运后，上述企业废水需进入蚌埠市龙子湖区工业污水处理厂处理后达标排放。</w:t>
                  </w:r>
                </w:p>
              </w:tc>
            </w:tr>
            <w:tr w14:paraId="3C9C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95" w:type="pct"/>
                  <w:noWrap/>
                  <w:vAlign w:val="center"/>
                </w:tcPr>
                <w:p w14:paraId="408BF51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禁止类</w:t>
                  </w:r>
                </w:p>
              </w:tc>
              <w:tc>
                <w:tcPr>
                  <w:tcW w:w="4604" w:type="pct"/>
                  <w:gridSpan w:val="3"/>
                  <w:noWrap/>
                  <w:vAlign w:val="center"/>
                </w:tcPr>
                <w:p w14:paraId="19836A1B">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（1）禁止引入列入《产业结构调整指导目录（2024年本）》《市场准入负面清单（2022年版）》《长江经济带发展负面清单指南（试行，2022年版）》《外商投资准入特别管理措施（负面清单）（2020 年版）》等相关产业政策中禁止或淘汰类项目、产品、工艺、设备；</w:t>
                  </w:r>
                </w:p>
                <w:p w14:paraId="1EAA3E43">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（2）禁止新建、扩建法律法规和相关政策明令禁止的落后产能项目；</w:t>
                  </w:r>
                </w:p>
                <w:p w14:paraId="108AF740">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（3）禁止新建、扩建不符合国家产能置换要求的严重过剩产能行业的项目；</w:t>
                  </w:r>
                </w:p>
                <w:p w14:paraId="5D4A6227">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（4）禁止新建、扩建不符合要求的高耗能高排放项目；</w:t>
                  </w:r>
                </w:p>
                <w:p w14:paraId="7EBE3053">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（5）禁止引入造纸、印染、制革、化工、电镀、酿造等水污染严重的小型企业；</w:t>
                  </w:r>
                </w:p>
                <w:p w14:paraId="2BF069EA">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（6）禁止新建、扩建屠宰、酿造、水泥、平板玻璃制造（不包括光伏压延玻璃、显示玻璃）、制糖、铅酸蓄电池项目；</w:t>
                  </w:r>
                </w:p>
                <w:p w14:paraId="1E53F7AA">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（7）禁止引入尚需自行建设燃煤锅炉的企业入区，引进项目必须使用清洁能源或实施集中供热；</w:t>
                  </w:r>
                </w:p>
                <w:p w14:paraId="7B66043C">
                  <w:pPr>
                    <w:keepNext w:val="0"/>
                    <w:keepLines w:val="0"/>
                    <w:widowControl/>
                    <w:suppressLineNumbers w:val="0"/>
                    <w:spacing w:line="240" w:lineRule="auto"/>
                    <w:ind w:firstLine="0" w:firstLineChars="0"/>
                    <w:jc w:val="left"/>
                    <w:textAlignment w:val="center"/>
                    <w:rPr>
                      <w:rFonts w:hint="default" w:ascii="Times New Roman" w:hAnsi="Times New Roman" w:eastAsia="宋体" w:cs="Times New Roman"/>
                      <w:i w:val="0"/>
                      <w:iCs w:val="0"/>
                      <w:color w:val="auto"/>
                      <w:kern w:val="0"/>
                      <w:sz w:val="21"/>
                      <w:szCs w:val="26"/>
                      <w:u w:val="none"/>
                      <w:lang w:val="en-US" w:eastAsia="zh-CN" w:bidi="ar"/>
                    </w:rPr>
                  </w:pPr>
                  <w:r>
                    <w:rPr>
                      <w:rFonts w:hint="default" w:ascii="Times New Roman" w:hAnsi="Times New Roman" w:eastAsia="宋体" w:cs="Times New Roman"/>
                      <w:i w:val="0"/>
                      <w:iCs w:val="0"/>
                      <w:color w:val="auto"/>
                      <w:kern w:val="0"/>
                      <w:sz w:val="21"/>
                      <w:szCs w:val="26"/>
                      <w:u w:val="none"/>
                      <w:lang w:val="en-US" w:eastAsia="zh-CN" w:bidi="ar"/>
                    </w:rPr>
                    <w:t>（8）禁止引入清洁生产低于国内先进水平的项目。</w:t>
                  </w:r>
                </w:p>
              </w:tc>
            </w:tr>
          </w:tbl>
          <w:p w14:paraId="7D115B1D">
            <w:pPr>
              <w:pStyle w:val="82"/>
              <w:rPr>
                <w:rFonts w:hint="default" w:ascii="Times New Roman" w:hAnsi="Times New Roman" w:cs="Times New Roman"/>
                <w:color w:val="auto"/>
              </w:rPr>
            </w:pPr>
            <w:r>
              <w:rPr>
                <w:rFonts w:hint="default" w:ascii="Times New Roman" w:hAnsi="Times New Roman" w:cs="Times New Roman"/>
                <w:color w:val="auto"/>
              </w:rPr>
              <w:t>本次项目为</w:t>
            </w:r>
            <w:r>
              <w:rPr>
                <w:rFonts w:hint="default" w:ascii="Times New Roman" w:hAnsi="Times New Roman" w:cs="Times New Roman"/>
                <w:color w:val="auto"/>
                <w:lang w:val="en-US" w:eastAsia="zh-CN"/>
              </w:rPr>
              <w:t>C2927日用塑料制品制造</w:t>
            </w:r>
            <w:r>
              <w:rPr>
                <w:rFonts w:hint="default" w:ascii="Times New Roman" w:hAnsi="Times New Roman" w:cs="Times New Roman"/>
                <w:color w:val="auto"/>
              </w:rPr>
              <w:t>，由上表可知，本项目不属于园区有条件进入类、禁止类项目，符合园区规划。</w:t>
            </w:r>
          </w:p>
          <w:p w14:paraId="44116E42">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kern w:val="2"/>
                <w:sz w:val="24"/>
                <w:szCs w:val="24"/>
                <w:lang w:val="en-US" w:eastAsia="zh-CN" w:bidi="ar-SA"/>
              </w:rPr>
              <w:t>同时</w:t>
            </w:r>
            <w:r>
              <w:rPr>
                <w:rFonts w:hint="default" w:ascii="Times New Roman" w:hAnsi="Times New Roman" w:eastAsia="宋体" w:cs="Times New Roman"/>
                <w:color w:val="auto"/>
                <w:kern w:val="2"/>
                <w:sz w:val="24"/>
                <w:szCs w:val="24"/>
                <w:lang w:val="en-US" w:eastAsia="zh-CN" w:bidi="ar-SA"/>
              </w:rPr>
              <w:t>对照国家产业政策和《长江经济带战略环境评价安徽省蚌埠市“三线一单”生态环境准入清单》，</w:t>
            </w:r>
            <w:r>
              <w:rPr>
                <w:rFonts w:hint="default" w:ascii="Times New Roman" w:hAnsi="Times New Roman" w:cs="Times New Roman"/>
                <w:color w:val="auto"/>
                <w:highlight w:val="none"/>
                <w:lang w:val="en-US" w:eastAsia="zh-CN"/>
              </w:rPr>
              <w:t>不属于限制和禁止的产业，可视为允许类</w:t>
            </w:r>
            <w:r>
              <w:rPr>
                <w:rFonts w:hint="default" w:ascii="Times New Roman" w:hAnsi="Times New Roman" w:eastAsia="宋体" w:cs="Times New Roman"/>
                <w:color w:val="auto"/>
                <w:kern w:val="2"/>
                <w:sz w:val="24"/>
                <w:szCs w:val="24"/>
                <w:lang w:val="en-US" w:eastAsia="zh-CN" w:bidi="ar-SA"/>
              </w:rPr>
              <w:t>。因此本项目符合国家产业政策及《长江经济带战略环境评价安徽省蚌埠市“三线一单”生态环境准入清单》要求。</w:t>
            </w:r>
          </w:p>
          <w:p w14:paraId="1232CB2F">
            <w:pPr>
              <w:autoSpaceDE w:val="0"/>
              <w:spacing w:line="360" w:lineRule="auto"/>
              <w:ind w:firstLine="482" w:firstLineChars="0"/>
              <w:jc w:val="left"/>
              <w:rPr>
                <w:rFonts w:hint="default" w:ascii="Times New Roman" w:hAnsi="Times New Roman" w:eastAsia="宋体" w:cs="Times New Roman"/>
                <w:color w:val="auto"/>
                <w:sz w:val="24"/>
                <w:lang w:val="zh-CN"/>
              </w:rPr>
            </w:pPr>
            <w:r>
              <w:rPr>
                <w:rFonts w:hint="default" w:ascii="Times New Roman" w:hAnsi="Times New Roman" w:eastAsia="宋体" w:cs="Times New Roman"/>
                <w:color w:val="auto"/>
                <w:sz w:val="24"/>
                <w:lang w:val="zh-CN"/>
              </w:rPr>
              <w:t>综上所述，本项目建设符合蚌埠市生态环境分区管控要求。</w:t>
            </w:r>
          </w:p>
          <w:p w14:paraId="576F4763">
            <w:pPr>
              <w:spacing w:line="360" w:lineRule="auto"/>
              <w:ind w:firstLine="482" w:firstLineChars="20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4、与《安徽省淮河流域水污染防治条例》相符性分析</w:t>
            </w:r>
          </w:p>
          <w:p w14:paraId="4C2364D3">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《安徽省淮河流域水污染防治条例》中要求：</w:t>
            </w:r>
          </w:p>
          <w:p w14:paraId="5991107D">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第十三条：禁止在淮河流域新建化学制浆造纸企业和印染、制革、化工、电镀、酿造等污染严重的小型企业。</w:t>
            </w:r>
          </w:p>
          <w:p w14:paraId="69CBF8B0">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严格限制在淮河流域新建印染、制革、化工、电镀、酿造等大中型项目或者其他污染严重的项目；建设该类项目的，应当事前征得省人民政府生态环境行政主管部门的同意，并按照规定办理有关手续。</w:t>
            </w:r>
          </w:p>
          <w:p w14:paraId="5B6C0389">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第十四条：新建、改建、扩建直接或者间接向水体排放污染物的建设项目和其他水上设施，应当依法进行环境影响评价。建设项目的水污染防治设施，应当符合经批准或者备案的环境影响评价文件的要求，并与主体工程同时设计、同时施工、同时投入使用。</w:t>
            </w:r>
          </w:p>
          <w:p w14:paraId="46A164AF">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新建、扩建、改建项目，除执行前款规定外，还应当遵守下列规定：</w:t>
            </w:r>
          </w:p>
          <w:p w14:paraId="24F9909F">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一</w:t>
            </w: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新建项目的选址应符合城市总体规划，避开饮用水水源地和对环境有特殊要求的功能区；</w:t>
            </w:r>
          </w:p>
          <w:p w14:paraId="35B7EE52">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二</w:t>
            </w: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采用资源利用率高、污染物排放量少的先进设备和先进工艺；</w:t>
            </w:r>
          </w:p>
          <w:p w14:paraId="3D783FD6">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三</w:t>
            </w: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改建、扩建项目和技改项目应当把水污染治理纳入项目内容。</w:t>
            </w:r>
          </w:p>
          <w:p w14:paraId="03F9667E">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工程配套建设的水污染防治设施竣工后，建设单位应当按照国务院生态环境行政主管部门规定的标准和程序进行验收。验收合格后，方可投入使用；未经验收或者验收不合格的，不得投入生产或者使用。</w:t>
            </w:r>
          </w:p>
          <w:p w14:paraId="36C93DA4">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本项目属于</w:t>
            </w:r>
            <w:r>
              <w:rPr>
                <w:rFonts w:hint="default" w:ascii="Times New Roman" w:hAnsi="Times New Roman" w:cs="Times New Roman"/>
                <w:bCs/>
                <w:color w:val="auto"/>
                <w:szCs w:val="21"/>
                <w:lang w:val="en-US" w:eastAsia="zh-CN"/>
              </w:rPr>
              <w:t>C2927日用塑料制品制造</w:t>
            </w:r>
            <w:r>
              <w:rPr>
                <w:rFonts w:hint="default" w:ascii="Times New Roman" w:hAnsi="Times New Roman" w:eastAsia="宋体" w:cs="Times New Roman"/>
                <w:color w:val="auto"/>
                <w:kern w:val="2"/>
                <w:sz w:val="24"/>
                <w:szCs w:val="24"/>
                <w:lang w:val="en-US" w:eastAsia="zh-CN" w:bidi="ar-SA"/>
              </w:rPr>
              <w:t>，为</w:t>
            </w:r>
            <w:r>
              <w:rPr>
                <w:rFonts w:hint="default" w:ascii="Times New Roman" w:hAnsi="Times New Roman" w:cs="Times New Roman"/>
                <w:color w:val="auto"/>
                <w:kern w:val="2"/>
                <w:sz w:val="24"/>
                <w:szCs w:val="24"/>
                <w:lang w:val="en-US" w:eastAsia="zh-CN" w:bidi="ar-SA"/>
              </w:rPr>
              <w:t>新建</w:t>
            </w:r>
            <w:r>
              <w:rPr>
                <w:rFonts w:hint="default" w:ascii="Times New Roman" w:hAnsi="Times New Roman" w:eastAsia="宋体" w:cs="Times New Roman"/>
                <w:color w:val="auto"/>
                <w:kern w:val="2"/>
                <w:sz w:val="24"/>
                <w:szCs w:val="24"/>
                <w:lang w:val="en-US" w:eastAsia="zh-CN" w:bidi="ar-SA"/>
              </w:rPr>
              <w:t>项目，不属于禁止在淮河流域新建化学制浆造纸的企业和印染、制革、化工、电镀、酿造等污染严重的小型企业，也不属于严格限制在淮河流域新建印染、制革、化工、电镀、酿造等大中型项目或者其他污染严重的项目；项目用地性质为工业用地，其选址符合《蚌埠市国土空间总体规划（2021—2035年）》总体规划要求；</w:t>
            </w:r>
            <w:r>
              <w:rPr>
                <w:rFonts w:hint="default" w:ascii="Times New Roman" w:hAnsi="Times New Roman" w:eastAsia="宋体" w:cs="Times New Roman"/>
                <w:color w:val="auto"/>
                <w:kern w:val="2"/>
                <w:sz w:val="24"/>
                <w:szCs w:val="24"/>
                <w:highlight w:val="none"/>
                <w:lang w:val="en-US" w:eastAsia="zh-CN" w:bidi="ar-SA"/>
              </w:rPr>
              <w:t>本项目废水主要为生活污水</w:t>
            </w:r>
            <w:r>
              <w:rPr>
                <w:rFonts w:hint="default" w:ascii="Times New Roman" w:hAnsi="Times New Roman" w:cs="Times New Roman"/>
                <w:color w:val="auto"/>
                <w:kern w:val="2"/>
                <w:sz w:val="24"/>
                <w:szCs w:val="24"/>
                <w:highlight w:val="none"/>
                <w:lang w:val="en-US" w:eastAsia="zh-CN" w:bidi="ar-SA"/>
              </w:rPr>
              <w:t>与循环冷却水</w:t>
            </w:r>
            <w:r>
              <w:rPr>
                <w:rFonts w:hint="default" w:ascii="Times New Roman" w:hAnsi="Times New Roman" w:eastAsia="宋体" w:cs="Times New Roman"/>
                <w:color w:val="auto"/>
                <w:kern w:val="2"/>
                <w:sz w:val="24"/>
                <w:szCs w:val="24"/>
                <w:highlight w:val="none"/>
                <w:lang w:val="en-US" w:eastAsia="zh-CN" w:bidi="ar-SA"/>
              </w:rPr>
              <w:t>，</w:t>
            </w:r>
            <w:r>
              <w:rPr>
                <w:rFonts w:hint="default" w:ascii="Times New Roman" w:hAnsi="Times New Roman" w:cs="Times New Roman"/>
                <w:color w:val="auto"/>
                <w:kern w:val="2"/>
                <w:sz w:val="24"/>
                <w:szCs w:val="24"/>
                <w:highlight w:val="none"/>
                <w:lang w:val="en-US" w:eastAsia="zh-CN" w:bidi="ar-SA"/>
              </w:rPr>
              <w:t>生活污水</w:t>
            </w:r>
            <w:r>
              <w:rPr>
                <w:rFonts w:hint="default" w:ascii="Times New Roman" w:hAnsi="Times New Roman" w:cs="Times New Roman"/>
                <w:bCs/>
                <w:color w:val="auto"/>
                <w:szCs w:val="21"/>
                <w:highlight w:val="none"/>
                <w:lang w:val="en-US" w:eastAsia="zh-CN"/>
              </w:rPr>
              <w:t>经</w:t>
            </w:r>
            <w:r>
              <w:rPr>
                <w:rFonts w:hint="default" w:ascii="Times New Roman" w:hAnsi="Times New Roman" w:eastAsia="宋体" w:cs="Times New Roman"/>
                <w:bCs/>
                <w:color w:val="auto"/>
                <w:szCs w:val="21"/>
                <w:highlight w:val="none"/>
                <w:lang w:val="en-US" w:eastAsia="zh-CN"/>
              </w:rPr>
              <w:t>化粪池处理后</w:t>
            </w:r>
            <w:r>
              <w:rPr>
                <w:rFonts w:hint="default" w:ascii="Times New Roman" w:hAnsi="Times New Roman" w:cs="Times New Roman"/>
                <w:bCs/>
                <w:color w:val="auto"/>
                <w:szCs w:val="21"/>
                <w:highlight w:val="none"/>
                <w:lang w:val="en-US" w:eastAsia="zh-CN"/>
              </w:rPr>
              <w:t>与循环冷却水一同进入厂区污水总排口，</w:t>
            </w:r>
            <w:r>
              <w:rPr>
                <w:rFonts w:hint="default" w:ascii="Times New Roman" w:hAnsi="Times New Roman" w:eastAsia="宋体" w:cs="Times New Roman"/>
                <w:bCs/>
                <w:color w:val="auto"/>
                <w:szCs w:val="21"/>
                <w:highlight w:val="none"/>
                <w:lang w:val="en-US" w:eastAsia="zh-CN"/>
              </w:rPr>
              <w:t>通过市政污水管网进入蚌埠市第二污水处理厂</w:t>
            </w:r>
            <w:r>
              <w:rPr>
                <w:rFonts w:hint="default"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lang w:val="en-US" w:eastAsia="zh-CN" w:bidi="ar-SA"/>
              </w:rPr>
              <w:t>因此，在履行相关手续并有效落实相关措施条件下，经验收合格后，本项目符合《安徽省淮河流域水污染防治条例》中的相关要求。</w:t>
            </w:r>
          </w:p>
          <w:p w14:paraId="37DC8345">
            <w:pPr>
              <w:spacing w:line="360" w:lineRule="auto"/>
              <w:ind w:firstLine="482" w:firstLineChars="200"/>
              <w:rPr>
                <w:rFonts w:hint="default" w:ascii="Times New Roman" w:hAnsi="Times New Roman" w:eastAsia="宋体" w:cs="Times New Roman"/>
                <w:b/>
                <w:color w:val="auto"/>
                <w:sz w:val="24"/>
              </w:rPr>
            </w:pPr>
            <w:r>
              <w:rPr>
                <w:rFonts w:hint="default" w:ascii="Times New Roman" w:hAnsi="Times New Roman" w:cs="Times New Roman"/>
                <w:b/>
                <w:bCs/>
                <w:color w:val="auto"/>
                <w:sz w:val="24"/>
                <w:szCs w:val="24"/>
                <w:lang w:val="en-US" w:eastAsia="zh-CN"/>
              </w:rPr>
              <w:t>5、与《安徽省贯彻落实淮河生态经济带发展规划实施方案》相符性分析</w:t>
            </w:r>
          </w:p>
          <w:p w14:paraId="0070DC8B">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安徽省贯彻落实淮河生态经济带发展规划实施方案》规定：纵深推进“三大一强”专项攻坚行动，突出重点生态环境问题整改，构筑“1公里、5公里、15公里”分级管控体系，持续推进“禁新建、减存量、关污源、进园区、建新绿、纳统管、强机制”七大行动，加快推进淮河（安徽）经济带绿化美化生态化。强化“散乱污”企业综合整治，建立企业动态管理机制，坚决杜绝“散乱污”企业项目建设和已取缔企业异地转移、死灰复燃，定期开展“回头看”督查，巩固综合整治成果。综合运用法律、经济、科技等手段，促使一批能耗、环保、安全、技术不达标和生产不合格产品或淘汰类产能，依法依规关停退出。鼓励企业通过主动压减、兼并重组、转型转产、搬迁改造、国际产能合作等途径，退出过剩产能。加强重点行业脱硫、脱硝、除尘设施运行监管，鼓励企业实施超低排放改造，推广多污染物协同控制技术。</w:t>
            </w:r>
          </w:p>
          <w:p w14:paraId="3B06E7CC">
            <w:pPr>
              <w:widowControl w:val="0"/>
              <w:spacing w:after="0"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kern w:val="2"/>
                <w:sz w:val="24"/>
                <w:szCs w:val="24"/>
                <w:highlight w:val="none"/>
                <w:lang w:val="en-US" w:eastAsia="zh-CN" w:bidi="ar-SA"/>
              </w:rPr>
              <w:t>厂房距离淮河干流蚌埠段</w:t>
            </w:r>
            <w:r>
              <w:rPr>
                <w:rFonts w:hint="eastAsia" w:cs="Times New Roman"/>
                <w:color w:val="auto"/>
                <w:kern w:val="2"/>
                <w:sz w:val="24"/>
                <w:szCs w:val="24"/>
                <w:highlight w:val="none"/>
                <w:lang w:val="en-US" w:eastAsia="zh-CN" w:bidi="ar-SA"/>
              </w:rPr>
              <w:t>4521</w:t>
            </w:r>
            <w:r>
              <w:rPr>
                <w:rFonts w:hint="default" w:ascii="Times New Roman" w:hAnsi="Times New Roman" w:cs="Times New Roman"/>
                <w:color w:val="auto"/>
                <w:kern w:val="2"/>
                <w:sz w:val="24"/>
                <w:szCs w:val="24"/>
                <w:highlight w:val="none"/>
                <w:lang w:val="en-US" w:eastAsia="zh-CN" w:bidi="ar-SA"/>
              </w:rPr>
              <w:t>m，</w:t>
            </w:r>
            <w:r>
              <w:rPr>
                <w:rFonts w:hint="default" w:ascii="Times New Roman" w:hAnsi="Times New Roman" w:eastAsia="宋体" w:cs="Times New Roman"/>
                <w:color w:val="auto"/>
                <w:kern w:val="2"/>
                <w:sz w:val="24"/>
                <w:szCs w:val="24"/>
                <w:highlight w:val="none"/>
                <w:lang w:val="en-US" w:eastAsia="zh-CN" w:bidi="ar-SA"/>
              </w:rPr>
              <w:t>在淮河干流及主要支流岸线</w:t>
            </w:r>
            <w:r>
              <w:rPr>
                <w:rFonts w:hint="default" w:ascii="Times New Roman" w:hAnsi="Times New Roman" w:cs="Times New Roman"/>
                <w:color w:val="auto"/>
                <w:kern w:val="2"/>
                <w:sz w:val="24"/>
                <w:szCs w:val="24"/>
                <w:highlight w:val="none"/>
                <w:lang w:val="en-US" w:eastAsia="zh-CN" w:bidi="ar-SA"/>
              </w:rPr>
              <w:t>5</w:t>
            </w:r>
            <w:r>
              <w:rPr>
                <w:rFonts w:hint="default" w:ascii="Times New Roman" w:hAnsi="Times New Roman" w:eastAsia="宋体" w:cs="Times New Roman"/>
                <w:color w:val="auto"/>
                <w:kern w:val="2"/>
                <w:sz w:val="24"/>
                <w:szCs w:val="24"/>
                <w:highlight w:val="none"/>
                <w:lang w:val="en-US" w:eastAsia="zh-CN" w:bidi="ar-SA"/>
              </w:rPr>
              <w:t>公里范围内。</w:t>
            </w:r>
            <w:r>
              <w:rPr>
                <w:rFonts w:hint="default" w:ascii="Times New Roman" w:hAnsi="Times New Roman" w:eastAsia="宋体" w:cs="Times New Roman"/>
                <w:color w:val="auto"/>
                <w:kern w:val="2"/>
                <w:sz w:val="24"/>
                <w:szCs w:val="24"/>
                <w:lang w:val="en-US" w:eastAsia="zh-CN" w:bidi="ar-SA"/>
              </w:rPr>
              <w:t>本项目为</w:t>
            </w:r>
            <w:r>
              <w:rPr>
                <w:rFonts w:hint="default" w:ascii="Times New Roman" w:hAnsi="Times New Roman" w:cs="Times New Roman"/>
                <w:color w:val="auto"/>
                <w:kern w:val="2"/>
                <w:sz w:val="24"/>
                <w:szCs w:val="24"/>
                <w:lang w:val="en-US" w:eastAsia="zh-CN" w:bidi="ar-SA"/>
              </w:rPr>
              <w:t>新建</w:t>
            </w:r>
            <w:r>
              <w:rPr>
                <w:rFonts w:hint="default" w:ascii="Times New Roman" w:hAnsi="Times New Roman" w:eastAsia="宋体" w:cs="Times New Roman"/>
                <w:color w:val="auto"/>
                <w:kern w:val="2"/>
                <w:sz w:val="24"/>
                <w:szCs w:val="24"/>
                <w:lang w:val="en-US" w:eastAsia="zh-CN" w:bidi="ar-SA"/>
              </w:rPr>
              <w:t>项目，属于</w:t>
            </w:r>
            <w:r>
              <w:rPr>
                <w:rFonts w:hint="default" w:ascii="Times New Roman" w:hAnsi="Times New Roman" w:cs="Times New Roman"/>
                <w:bCs/>
                <w:color w:val="auto"/>
                <w:szCs w:val="21"/>
                <w:lang w:val="en-US" w:eastAsia="zh-CN"/>
              </w:rPr>
              <w:t>C2927日用塑料制品制造</w:t>
            </w:r>
            <w:r>
              <w:rPr>
                <w:rFonts w:hint="default" w:ascii="Times New Roman" w:hAnsi="Times New Roman" w:eastAsia="宋体" w:cs="Times New Roman"/>
                <w:color w:val="auto"/>
                <w:kern w:val="2"/>
                <w:sz w:val="24"/>
                <w:szCs w:val="24"/>
                <w:lang w:val="en-US" w:eastAsia="zh-CN" w:bidi="ar-SA"/>
              </w:rPr>
              <w:t>，既不属于化工类项目，也不属于淮河干流岸线5公里范围内禁止建设项目；本项目在符合项目准入门槛、严格执行环境保护标准、落实生态环保、安全生产、能源节约等要求的前提下，项目符合《安徽省贯彻落实淮河生态经济带发展规划实施方案》中相关要求。</w:t>
            </w:r>
          </w:p>
          <w:p w14:paraId="47D7C85D">
            <w:pPr>
              <w:spacing w:line="360" w:lineRule="auto"/>
              <w:ind w:firstLine="482" w:firstLineChars="20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6、与《重点行业挥发性有机物综合治理方案》（环大气〔2019〕53号）符合性分析</w:t>
            </w:r>
          </w:p>
          <w:p w14:paraId="0E4B4D5C">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根据生态环境部2019年6月26日发布的关于印发《重点行业挥发性有机物综合治理方案》的通知，对照本项目，相符性分析如下表：</w:t>
            </w:r>
          </w:p>
          <w:p w14:paraId="783FEE43">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w:t>
            </w:r>
            <w:r>
              <w:rPr>
                <w:rFonts w:hint="default" w:ascii="Times New Roman" w:hAnsi="Times New Roman" w:cs="Times New Roman"/>
                <w:b/>
                <w:color w:val="auto"/>
                <w:sz w:val="21"/>
                <w:szCs w:val="21"/>
                <w:highlight w:val="none"/>
                <w:lang w:val="en-US" w:eastAsia="zh-CN"/>
              </w:rPr>
              <w:t>8</w:t>
            </w:r>
            <w:r>
              <w:rPr>
                <w:rFonts w:hint="default" w:ascii="Times New Roman" w:hAnsi="Times New Roman" w:eastAsia="宋体" w:cs="Times New Roman"/>
                <w:b/>
                <w:color w:val="auto"/>
                <w:sz w:val="21"/>
                <w:szCs w:val="21"/>
                <w:highlight w:val="none"/>
                <w:lang w:val="en-US" w:eastAsia="zh-CN"/>
              </w:rPr>
              <w:t xml:space="preserve">  与环大气〔2019〕53号）符合性分析</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0"/>
              <w:gridCol w:w="2247"/>
              <w:gridCol w:w="1026"/>
            </w:tblGrid>
            <w:tr w14:paraId="43EA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pct"/>
                  <w:noWrap w:val="0"/>
                  <w:vAlign w:val="center"/>
                </w:tcPr>
                <w:p w14:paraId="4D470D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要求</w:t>
                  </w:r>
                </w:p>
              </w:tc>
              <w:tc>
                <w:tcPr>
                  <w:tcW w:w="1485" w:type="pct"/>
                  <w:noWrap w:val="0"/>
                  <w:vAlign w:val="center"/>
                </w:tcPr>
                <w:p w14:paraId="2C2302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本项目情况</w:t>
                  </w:r>
                </w:p>
              </w:tc>
              <w:tc>
                <w:tcPr>
                  <w:tcW w:w="678" w:type="pct"/>
                  <w:noWrap w:val="0"/>
                  <w:vAlign w:val="center"/>
                </w:tcPr>
                <w:p w14:paraId="369067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相符性分析</w:t>
                  </w:r>
                </w:p>
              </w:tc>
            </w:tr>
            <w:tr w14:paraId="257C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pct"/>
                  <w:noWrap w:val="0"/>
                  <w:vAlign w:val="center"/>
                </w:tcPr>
                <w:p w14:paraId="3D7F21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全面加强无组织排放控制。提高废气收集率，遵循“应收尽收、分质收集”的原则，科学设计废气收集系统，将无组织排放转变为有组织排放进行控制。采用全密闭集气罩或密闭空间的，除行业有特殊要求外，应保持微负压状态，并根据相关规范合理设置通风量。采用局部集气罩的，距集气罩开口面最远处的</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无组织排放位置，控制风速应不低于0.3米/秒，有行业要求的按相关规定执行。</w:t>
                  </w:r>
                </w:p>
              </w:tc>
              <w:tc>
                <w:tcPr>
                  <w:tcW w:w="1485" w:type="pct"/>
                  <w:shd w:val="clear" w:color="auto" w:fill="auto"/>
                  <w:noWrap w:val="0"/>
                  <w:vAlign w:val="center"/>
                </w:tcPr>
                <w:p w14:paraId="2C8032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本项目产生的有机废气为</w:t>
                  </w:r>
                  <w:r>
                    <w:rPr>
                      <w:rFonts w:hint="default" w:ascii="Times New Roman" w:hAnsi="Times New Roman" w:cs="Times New Roman"/>
                      <w:i w:val="0"/>
                      <w:iCs w:val="0"/>
                      <w:color w:val="auto"/>
                      <w:kern w:val="0"/>
                      <w:sz w:val="21"/>
                      <w:szCs w:val="21"/>
                      <w:u w:val="none"/>
                      <w:lang w:val="en-US" w:eastAsia="zh-CN" w:bidi="ar"/>
                    </w:rPr>
                    <w:t>注塑</w:t>
                  </w:r>
                  <w:r>
                    <w:rPr>
                      <w:rFonts w:hint="default" w:ascii="Times New Roman" w:hAnsi="Times New Roman" w:eastAsia="宋体" w:cs="Times New Roman"/>
                      <w:i w:val="0"/>
                      <w:iCs w:val="0"/>
                      <w:color w:val="auto"/>
                      <w:kern w:val="0"/>
                      <w:sz w:val="21"/>
                      <w:szCs w:val="21"/>
                      <w:u w:val="none"/>
                      <w:lang w:val="en-US" w:eastAsia="zh-CN" w:bidi="ar"/>
                    </w:rPr>
                    <w:t>废气</w:t>
                  </w:r>
                  <w:r>
                    <w:rPr>
                      <w:rFonts w:hint="eastAsia" w:cs="Times New Roman"/>
                      <w:i w:val="0"/>
                      <w:iCs w:val="0"/>
                      <w:color w:val="auto"/>
                      <w:kern w:val="0"/>
                      <w:sz w:val="21"/>
                      <w:szCs w:val="21"/>
                      <w:u w:val="none"/>
                      <w:lang w:val="en-US" w:eastAsia="zh-CN" w:bidi="ar"/>
                    </w:rPr>
                    <w:t>、喷漆晾干废气</w:t>
                  </w:r>
                  <w:r>
                    <w:rPr>
                      <w:rFonts w:hint="default"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注塑</w:t>
                  </w:r>
                  <w:r>
                    <w:rPr>
                      <w:rFonts w:hint="default" w:ascii="Times New Roman" w:hAnsi="Times New Roman" w:eastAsia="宋体" w:cs="Times New Roman"/>
                      <w:i w:val="0"/>
                      <w:iCs w:val="0"/>
                      <w:color w:val="auto"/>
                      <w:kern w:val="0"/>
                      <w:sz w:val="21"/>
                      <w:szCs w:val="21"/>
                      <w:u w:val="none"/>
                      <w:lang w:val="en-US" w:eastAsia="zh-CN" w:bidi="ar"/>
                    </w:rPr>
                    <w:t>采用集气罩收集，收集效率为90%</w:t>
                  </w:r>
                  <w:r>
                    <w:rPr>
                      <w:rFonts w:hint="eastAsia" w:cs="Times New Roman"/>
                      <w:i w:val="0"/>
                      <w:iCs w:val="0"/>
                      <w:color w:val="auto"/>
                      <w:kern w:val="0"/>
                      <w:sz w:val="21"/>
                      <w:szCs w:val="21"/>
                      <w:u w:val="none"/>
                      <w:lang w:val="en-US" w:eastAsia="zh-CN" w:bidi="ar"/>
                    </w:rPr>
                    <w:t>，喷漆、晾干废气</w:t>
                  </w:r>
                  <w:r>
                    <w:rPr>
                      <w:rFonts w:hint="default" w:ascii="Times New Roman" w:hAnsi="Times New Roman" w:eastAsia="宋体" w:cs="Times New Roman"/>
                      <w:i w:val="0"/>
                      <w:iCs w:val="0"/>
                      <w:color w:val="auto"/>
                      <w:kern w:val="0"/>
                      <w:sz w:val="21"/>
                      <w:szCs w:val="21"/>
                      <w:u w:val="none"/>
                      <w:lang w:val="en-US" w:eastAsia="zh-CN" w:bidi="ar"/>
                    </w:rPr>
                    <w:t>采用</w:t>
                  </w:r>
                  <w:r>
                    <w:rPr>
                      <w:rFonts w:hint="eastAsia" w:cs="Times New Roman"/>
                      <w:i w:val="0"/>
                      <w:iCs w:val="0"/>
                      <w:color w:val="auto"/>
                      <w:kern w:val="0"/>
                      <w:sz w:val="21"/>
                      <w:szCs w:val="21"/>
                      <w:u w:val="none"/>
                      <w:lang w:val="en-US" w:eastAsia="zh-CN" w:bidi="ar"/>
                    </w:rPr>
                    <w:t>喷漆晾干房负压</w:t>
                  </w:r>
                  <w:r>
                    <w:rPr>
                      <w:rFonts w:hint="default" w:ascii="Times New Roman" w:hAnsi="Times New Roman" w:eastAsia="宋体" w:cs="Times New Roman"/>
                      <w:i w:val="0"/>
                      <w:iCs w:val="0"/>
                      <w:color w:val="auto"/>
                      <w:kern w:val="0"/>
                      <w:sz w:val="21"/>
                      <w:szCs w:val="21"/>
                      <w:u w:val="none"/>
                      <w:lang w:val="en-US" w:eastAsia="zh-CN" w:bidi="ar"/>
                    </w:rPr>
                    <w:t>收集，收集效率为9</w:t>
                  </w:r>
                  <w:r>
                    <w:rPr>
                      <w:rFonts w:hint="eastAsia" w:cs="Times New Roman"/>
                      <w:i w:val="0"/>
                      <w:iCs w:val="0"/>
                      <w:color w:val="auto"/>
                      <w:kern w:val="0"/>
                      <w:sz w:val="21"/>
                      <w:szCs w:val="21"/>
                      <w:u w:val="none"/>
                      <w:lang w:val="en-US" w:eastAsia="zh-CN" w:bidi="ar"/>
                    </w:rPr>
                    <w:t>5</w:t>
                  </w:r>
                  <w:r>
                    <w:rPr>
                      <w:rFonts w:hint="default" w:ascii="Times New Roman" w:hAnsi="Times New Roman" w:eastAsia="宋体" w:cs="Times New Roman"/>
                      <w:i w:val="0"/>
                      <w:iCs w:val="0"/>
                      <w:color w:val="auto"/>
                      <w:kern w:val="0"/>
                      <w:sz w:val="21"/>
                      <w:szCs w:val="21"/>
                      <w:u w:val="none"/>
                      <w:lang w:val="en-US" w:eastAsia="zh-CN" w:bidi="ar"/>
                    </w:rPr>
                    <w:t>%</w:t>
                  </w:r>
                </w:p>
              </w:tc>
              <w:tc>
                <w:tcPr>
                  <w:tcW w:w="678" w:type="pct"/>
                  <w:noWrap w:val="0"/>
                  <w:vAlign w:val="center"/>
                </w:tcPr>
                <w:p w14:paraId="4CA0950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7055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pct"/>
                  <w:noWrap w:val="0"/>
                  <w:vAlign w:val="center"/>
                </w:tcPr>
                <w:p w14:paraId="47BCA4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推进建设适宜高效的治污设施。企业新建治污设施或对现有治污设施实施改造，应依据排放废气的浓度、组分、风量，温度、湿度、压力，以及生产工况等，合理选择治理技术。</w:t>
                  </w:r>
                </w:p>
              </w:tc>
              <w:tc>
                <w:tcPr>
                  <w:tcW w:w="1485" w:type="pct"/>
                  <w:shd w:val="clear" w:color="auto" w:fill="auto"/>
                  <w:noWrap w:val="0"/>
                  <w:vAlign w:val="center"/>
                </w:tcPr>
                <w:p w14:paraId="7D814B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本次项目拟使用</w:t>
                  </w:r>
                  <w:r>
                    <w:rPr>
                      <w:rFonts w:hint="eastAsia"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二级活性炭吸附</w:t>
                  </w:r>
                  <w:r>
                    <w:rPr>
                      <w:rFonts w:hint="eastAsia"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装置来处理有机废气及臭气浓度，处理效率不小于90%，处理后可达标排放。</w:t>
                  </w:r>
                </w:p>
              </w:tc>
              <w:tc>
                <w:tcPr>
                  <w:tcW w:w="678" w:type="pct"/>
                  <w:noWrap w:val="0"/>
                  <w:vAlign w:val="center"/>
                </w:tcPr>
                <w:p w14:paraId="6446863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1920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pct"/>
                  <w:noWrap w:val="0"/>
                  <w:vAlign w:val="center"/>
                </w:tcPr>
                <w:p w14:paraId="3A4E2D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加强企业运行管理。企业应系统梳理</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排放主要环节和工序，包括启停机、检维修作业等，制定具体操作规程，落实到具体责任人。健全内部考核制度。加强人员能力培训和技术交流。建立管理台账，记录企业生产和治污设施运行的关键参数，在线监控参数要确保能够实时调取，相关台账记录至少保存三年。</w:t>
                  </w:r>
                </w:p>
              </w:tc>
              <w:tc>
                <w:tcPr>
                  <w:tcW w:w="1485" w:type="pct"/>
                  <w:shd w:val="clear" w:color="auto" w:fill="auto"/>
                  <w:noWrap w:val="0"/>
                  <w:vAlign w:val="center"/>
                </w:tcPr>
                <w:p w14:paraId="6B93C99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企业已制定环保相关操作规程、内部考核制度，定期进行环保培训，已建立管理台账，并按要求管理保存。</w:t>
                  </w:r>
                </w:p>
              </w:tc>
              <w:tc>
                <w:tcPr>
                  <w:tcW w:w="678" w:type="pct"/>
                  <w:noWrap w:val="0"/>
                  <w:vAlign w:val="center"/>
                </w:tcPr>
                <w:p w14:paraId="3B9293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bl>
          <w:p w14:paraId="71C7CCDE">
            <w:pPr>
              <w:spacing w:line="360" w:lineRule="auto"/>
              <w:ind w:firstLine="482" w:firstLineChars="200"/>
              <w:rPr>
                <w:rFonts w:hint="default" w:ascii="Times New Roman" w:hAnsi="Times New Roman" w:cs="Times New Roman"/>
                <w:b/>
                <w:bCs/>
                <w:color w:val="auto"/>
                <w:sz w:val="24"/>
                <w:szCs w:val="24"/>
                <w:lang w:val="en-US" w:eastAsia="zh-CN"/>
              </w:rPr>
            </w:pPr>
          </w:p>
          <w:p w14:paraId="320DBC07">
            <w:pPr>
              <w:spacing w:line="360" w:lineRule="auto"/>
              <w:ind w:firstLine="482" w:firstLineChars="20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7、与《安徽省大气办关于深入开展挥发性有机物污染治理工作的通知》（皖大气办〔2021〕4号）符合性分析</w:t>
            </w:r>
          </w:p>
          <w:p w14:paraId="6CCAEB31">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w:t>
            </w:r>
            <w:r>
              <w:rPr>
                <w:rFonts w:hint="default" w:ascii="Times New Roman" w:hAnsi="Times New Roman" w:cs="Times New Roman"/>
                <w:b/>
                <w:color w:val="auto"/>
                <w:sz w:val="21"/>
                <w:szCs w:val="21"/>
                <w:highlight w:val="none"/>
                <w:lang w:val="en-US" w:eastAsia="zh-CN"/>
              </w:rPr>
              <w:t>9</w:t>
            </w:r>
            <w:r>
              <w:rPr>
                <w:rFonts w:hint="default" w:ascii="Times New Roman" w:hAnsi="Times New Roman" w:eastAsia="宋体" w:cs="Times New Roman"/>
                <w:b/>
                <w:color w:val="auto"/>
                <w:sz w:val="21"/>
                <w:szCs w:val="21"/>
                <w:highlight w:val="none"/>
                <w:lang w:val="en-US" w:eastAsia="zh-CN"/>
              </w:rPr>
              <w:t xml:space="preserve">  与皖大气办〔2021〕4号符合性分析一览表</w:t>
            </w:r>
          </w:p>
          <w:tbl>
            <w:tblPr>
              <w:tblStyle w:val="2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0"/>
              <w:gridCol w:w="4797"/>
              <w:gridCol w:w="1505"/>
              <w:gridCol w:w="738"/>
            </w:tblGrid>
            <w:tr w14:paraId="40E9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344" w:type="pct"/>
                  <w:noWrap w:val="0"/>
                  <w:vAlign w:val="center"/>
                </w:tcPr>
                <w:p w14:paraId="5DF134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类别</w:t>
                  </w:r>
                </w:p>
              </w:tc>
              <w:tc>
                <w:tcPr>
                  <w:tcW w:w="3172" w:type="pct"/>
                  <w:noWrap w:val="0"/>
                  <w:vAlign w:val="center"/>
                </w:tcPr>
                <w:p w14:paraId="43265D6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要求</w:t>
                  </w:r>
                </w:p>
              </w:tc>
              <w:tc>
                <w:tcPr>
                  <w:tcW w:w="995" w:type="pct"/>
                  <w:noWrap w:val="0"/>
                  <w:vAlign w:val="center"/>
                </w:tcPr>
                <w:p w14:paraId="031B22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本项目</w:t>
                  </w:r>
                </w:p>
              </w:tc>
              <w:tc>
                <w:tcPr>
                  <w:tcW w:w="488" w:type="pct"/>
                  <w:noWrap w:val="0"/>
                  <w:vAlign w:val="center"/>
                </w:tcPr>
                <w:p w14:paraId="3F99E1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符合性</w:t>
                  </w:r>
                </w:p>
              </w:tc>
            </w:tr>
            <w:tr w14:paraId="518E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44" w:type="pct"/>
                  <w:noWrap w:val="0"/>
                  <w:vAlign w:val="center"/>
                </w:tcPr>
                <w:p w14:paraId="7A7F9ED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重点推进源头削减</w:t>
                  </w:r>
                </w:p>
              </w:tc>
              <w:tc>
                <w:tcPr>
                  <w:tcW w:w="3172" w:type="pct"/>
                  <w:noWrap w:val="0"/>
                  <w:vAlign w:val="center"/>
                </w:tcPr>
                <w:p w14:paraId="39A6331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鼓励支持使用涂料、油墨、胶粘剂、涂层剂（树脂）、清洗剂等原辅材料的企业，进行低</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含量原辅材料的源头替代，7月1日前各地指导企业建立管理台账，记录</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原辅材料的产品名称、</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含量和使用量等。各地应结合本地产业特点和源头替代参考目录（见附件5），重点在工业涂装、包装印刷、鞋革箱包制造、竹木制品胶合、电子等重点领域，推广低于10%原辅材料的源头替代，并纳入年度源头削减项目管理，实现“可替尽替、应代尽代”，源头削减年度完成项目占30%以上。</w:t>
                  </w:r>
                </w:p>
              </w:tc>
              <w:tc>
                <w:tcPr>
                  <w:tcW w:w="995" w:type="pct"/>
                  <w:noWrap w:val="0"/>
                  <w:vAlign w:val="center"/>
                </w:tcPr>
                <w:p w14:paraId="26127DF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本次项目原辅材料不使用涂料、胶粘剂、涂层剂（树脂）、清洗剂等原辅材料。</w:t>
                  </w:r>
                </w:p>
              </w:tc>
              <w:tc>
                <w:tcPr>
                  <w:tcW w:w="488" w:type="pct"/>
                  <w:noWrap w:val="0"/>
                  <w:vAlign w:val="center"/>
                </w:tcPr>
                <w:p w14:paraId="0E1C63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1855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9" w:hRule="atLeast"/>
                <w:jc w:val="center"/>
              </w:trPr>
              <w:tc>
                <w:tcPr>
                  <w:tcW w:w="344" w:type="pct"/>
                  <w:noWrap w:val="0"/>
                  <w:vAlign w:val="center"/>
                </w:tcPr>
                <w:p w14:paraId="3BCE3B8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制定“一企一案”</w:t>
                  </w:r>
                </w:p>
              </w:tc>
              <w:tc>
                <w:tcPr>
                  <w:tcW w:w="3172" w:type="pct"/>
                  <w:noWrap w:val="0"/>
                  <w:vAlign w:val="center"/>
                </w:tcPr>
                <w:p w14:paraId="344531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借鉴上海市等先发地区重点行业</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综合治理企业“一厂一方案”编制经验，各地分行业分级指导企业编制优化“一企一案”，明确企业</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综合治理任务时间节点和工作目标。重点梳理石化、化工、工业涂装、包装印刷、油品储运销等重点领域重点行业，</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年排放量超过1吨的企业，督促9月30日前完成方案编制完善工作。243家涉</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省级重点企业（含省重点排污单位名录企业）及年排放量超过10吨的企业，8月31日前对方案进行评估完善，及时核实治理效果，并报至省大气办备案。</w:t>
                  </w:r>
                </w:p>
              </w:tc>
              <w:tc>
                <w:tcPr>
                  <w:tcW w:w="995" w:type="pct"/>
                  <w:noWrap w:val="0"/>
                  <w:vAlign w:val="center"/>
                </w:tcPr>
                <w:p w14:paraId="79ED82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本次项目</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年排放总量不超过1吨</w:t>
                  </w:r>
                </w:p>
              </w:tc>
              <w:tc>
                <w:tcPr>
                  <w:tcW w:w="488" w:type="pct"/>
                  <w:noWrap w:val="0"/>
                  <w:vAlign w:val="center"/>
                </w:tcPr>
                <w:p w14:paraId="6F5A87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3FBF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6" w:hRule="atLeast"/>
                <w:jc w:val="center"/>
              </w:trPr>
              <w:tc>
                <w:tcPr>
                  <w:tcW w:w="344" w:type="pct"/>
                  <w:noWrap w:val="0"/>
                  <w:vAlign w:val="center"/>
                </w:tcPr>
                <w:p w14:paraId="4C730C3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实施排污许可</w:t>
                  </w:r>
                </w:p>
              </w:tc>
              <w:tc>
                <w:tcPr>
                  <w:tcW w:w="3172" w:type="pct"/>
                  <w:noWrap w:val="0"/>
                  <w:vAlign w:val="center"/>
                </w:tcPr>
                <w:p w14:paraId="472E1CD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建立健全以排污许可核发为中心的</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管控依据，在石油、化工、工业涂装、包装印刷、油品储运销五大领域全面推行排污许可制度，不断规范涉</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工业企业的排污许可登记管理，落实企业</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源头削减、过程控制和末端污染治理工作，推进企业自行监测、台账落实和定期报告的具体规定落地，严厉处罚无证和不按证排污行为。</w:t>
                  </w:r>
                </w:p>
              </w:tc>
              <w:tc>
                <w:tcPr>
                  <w:tcW w:w="995" w:type="pct"/>
                  <w:noWrap w:val="0"/>
                  <w:vAlign w:val="center"/>
                </w:tcPr>
                <w:p w14:paraId="72438D8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本项目排污许可管理类别为登记管理</w:t>
                  </w:r>
                </w:p>
              </w:tc>
              <w:tc>
                <w:tcPr>
                  <w:tcW w:w="488" w:type="pct"/>
                  <w:noWrap w:val="0"/>
                  <w:vAlign w:val="center"/>
                </w:tcPr>
                <w:p w14:paraId="32D16E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bl>
          <w:p w14:paraId="38B2597E">
            <w:pPr>
              <w:spacing w:line="360" w:lineRule="auto"/>
              <w:ind w:firstLine="482" w:firstLineChars="20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8、与《安徽省重点行业挥发性有机物治理环境管理技术规范》（DB34/T4230.9-2022）相符性分析</w:t>
            </w:r>
          </w:p>
          <w:p w14:paraId="1BB3B8EA">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表1-10  与《安徽省重点行业挥发性有机物治理环境管理技术规范》第9部分：塑料制品业相符性分析</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238"/>
              <w:gridCol w:w="2789"/>
              <w:gridCol w:w="891"/>
            </w:tblGrid>
            <w:tr w14:paraId="7B22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8" w:type="pct"/>
                  <w:noWrap w:val="0"/>
                  <w:vAlign w:val="center"/>
                </w:tcPr>
                <w:p w14:paraId="5911691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2139" w:type="pct"/>
                  <w:noWrap w:val="0"/>
                  <w:vAlign w:val="center"/>
                </w:tcPr>
                <w:p w14:paraId="57C3CA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相关内容摘要</w:t>
                  </w:r>
                </w:p>
              </w:tc>
              <w:tc>
                <w:tcPr>
                  <w:tcW w:w="1842" w:type="pct"/>
                  <w:noWrap w:val="0"/>
                  <w:vAlign w:val="center"/>
                </w:tcPr>
                <w:p w14:paraId="3D2DCD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本项目建设情况</w:t>
                  </w:r>
                </w:p>
              </w:tc>
              <w:tc>
                <w:tcPr>
                  <w:tcW w:w="589" w:type="pct"/>
                  <w:noWrap w:val="0"/>
                  <w:vAlign w:val="center"/>
                </w:tcPr>
                <w:p w14:paraId="159D0E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符合性</w:t>
                  </w:r>
                </w:p>
              </w:tc>
            </w:tr>
            <w:tr w14:paraId="1002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8" w:type="pct"/>
                  <w:noWrap w:val="0"/>
                  <w:vAlign w:val="center"/>
                </w:tcPr>
                <w:p w14:paraId="71D931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cr/>
                  </w:r>
                  <w:r>
                    <w:rPr>
                      <w:rFonts w:hint="default" w:ascii="Times New Roman" w:hAnsi="Times New Roman" w:eastAsia="宋体" w:cs="Times New Roman"/>
                      <w:i w:val="0"/>
                      <w:iCs w:val="0"/>
                      <w:color w:val="auto"/>
                      <w:kern w:val="0"/>
                      <w:sz w:val="21"/>
                      <w:szCs w:val="21"/>
                      <w:u w:val="none"/>
                      <w:lang w:val="en-US" w:eastAsia="zh-CN" w:bidi="ar"/>
                    </w:rPr>
                    <w:t>1</w:t>
                  </w:r>
                </w:p>
              </w:tc>
              <w:tc>
                <w:tcPr>
                  <w:tcW w:w="2139" w:type="pct"/>
                  <w:noWrap w:val="0"/>
                  <w:vAlign w:val="center"/>
                </w:tcPr>
                <w:p w14:paraId="65D61C3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源头削减：1、塑料制品拆料、配料和投料过程宜采用自动化管道密闭技术；2、废塑料造粒产品冷却工艺宜采用水冷替代技术；3、挥发及半挥发性助剂应按照化工行业储存标密闭储存，涉及大宗有机物料使用的应采用储罐存储，优先考虑管道输送。</w:t>
                  </w:r>
                </w:p>
              </w:tc>
              <w:tc>
                <w:tcPr>
                  <w:tcW w:w="1842" w:type="pct"/>
                  <w:noWrap w:val="0"/>
                  <w:vAlign w:val="center"/>
                </w:tcPr>
                <w:p w14:paraId="4B6C5F6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本项目使用购置新粒子</w:t>
                  </w:r>
                  <w:r>
                    <w:rPr>
                      <w:rFonts w:hint="eastAsia" w:cs="Times New Roman"/>
                      <w:i w:val="0"/>
                      <w:iCs w:val="0"/>
                      <w:color w:val="auto"/>
                      <w:kern w:val="0"/>
                      <w:sz w:val="21"/>
                      <w:szCs w:val="21"/>
                      <w:u w:val="none"/>
                      <w:lang w:val="en-US" w:eastAsia="zh-CN" w:bidi="ar"/>
                    </w:rPr>
                    <w:t>，不使用再生料</w:t>
                  </w:r>
                  <w:r>
                    <w:rPr>
                      <w:rFonts w:hint="default" w:ascii="Times New Roman" w:hAnsi="Times New Roman" w:eastAsia="宋体" w:cs="Times New Roman"/>
                      <w:i w:val="0"/>
                      <w:iCs w:val="0"/>
                      <w:color w:val="auto"/>
                      <w:kern w:val="0"/>
                      <w:sz w:val="21"/>
                      <w:szCs w:val="21"/>
                      <w:u w:val="none"/>
                      <w:lang w:val="en-US" w:eastAsia="zh-CN" w:bidi="ar"/>
                    </w:rPr>
                    <w:t>，不涉及废塑料造粒工艺和挥发及半挥发助剂。</w:t>
                  </w:r>
                </w:p>
              </w:tc>
              <w:tc>
                <w:tcPr>
                  <w:tcW w:w="589" w:type="pct"/>
                  <w:noWrap w:val="0"/>
                  <w:vAlign w:val="center"/>
                </w:tcPr>
                <w:p w14:paraId="5CA341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6D47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8" w:type="pct"/>
                  <w:noWrap w:val="0"/>
                  <w:vAlign w:val="center"/>
                </w:tcPr>
                <w:p w14:paraId="280C63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w:t>
                  </w:r>
                </w:p>
              </w:tc>
              <w:tc>
                <w:tcPr>
                  <w:tcW w:w="2139" w:type="pct"/>
                  <w:noWrap w:val="0"/>
                  <w:vAlign w:val="center"/>
                </w:tcPr>
                <w:p w14:paraId="3FD4B16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过程控制：1、废气收集系统应与生产设备同步运行，当发生故障维修时，应同步停止生产设备的运行；2、尽可能采用“减风增浓、密闭操作”，提高设备的密闭性；3、采用车间整体密闭换风的，换风次数原则上不少于8次/h；采用上吸罩收集废气的，排风罩设计应满足GB/T 16758的要求；采用外部排风罩的，应按GB 16758、AQ/T4274规定的方法测量控制风速。</w:t>
                  </w:r>
                </w:p>
              </w:tc>
              <w:tc>
                <w:tcPr>
                  <w:tcW w:w="1842" w:type="pct"/>
                  <w:noWrap w:val="0"/>
                  <w:vAlign w:val="center"/>
                </w:tcPr>
                <w:p w14:paraId="377A8C8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本项目在生产过程中会产生挥发性有机物主要为注塑</w:t>
                  </w:r>
                  <w:r>
                    <w:rPr>
                      <w:rFonts w:hint="eastAsia" w:cs="Times New Roman"/>
                      <w:i w:val="0"/>
                      <w:iCs w:val="0"/>
                      <w:color w:val="auto"/>
                      <w:kern w:val="0"/>
                      <w:sz w:val="21"/>
                      <w:szCs w:val="21"/>
                      <w:u w:val="none"/>
                      <w:lang w:val="en-US" w:eastAsia="zh-CN" w:bidi="ar"/>
                    </w:rPr>
                    <w:t>、喷漆晾干和破碎废气</w:t>
                  </w:r>
                  <w:r>
                    <w:rPr>
                      <w:rFonts w:hint="default" w:ascii="Times New Roman" w:hAnsi="Times New Roman" w:eastAsia="宋体" w:cs="Times New Roman"/>
                      <w:i w:val="0"/>
                      <w:iCs w:val="0"/>
                      <w:color w:val="auto"/>
                      <w:kern w:val="0"/>
                      <w:sz w:val="21"/>
                      <w:szCs w:val="21"/>
                      <w:u w:val="none"/>
                      <w:lang w:val="en-US" w:eastAsia="zh-CN" w:bidi="ar"/>
                    </w:rPr>
                    <w:t>，在注塑机</w:t>
                  </w:r>
                  <w:r>
                    <w:rPr>
                      <w:rFonts w:hint="eastAsia" w:cs="Times New Roman"/>
                      <w:i w:val="0"/>
                      <w:iCs w:val="0"/>
                      <w:color w:val="auto"/>
                      <w:kern w:val="0"/>
                      <w:sz w:val="21"/>
                      <w:szCs w:val="21"/>
                      <w:u w:val="none"/>
                      <w:lang w:val="en-US" w:eastAsia="zh-CN" w:bidi="ar"/>
                    </w:rPr>
                    <w:t>、破碎机</w:t>
                  </w:r>
                  <w:r>
                    <w:rPr>
                      <w:rFonts w:hint="default" w:ascii="Times New Roman" w:hAnsi="Times New Roman" w:eastAsia="宋体" w:cs="Times New Roman"/>
                      <w:i w:val="0"/>
                      <w:iCs w:val="0"/>
                      <w:color w:val="auto"/>
                      <w:kern w:val="0"/>
                      <w:sz w:val="21"/>
                      <w:szCs w:val="21"/>
                      <w:u w:val="none"/>
                      <w:lang w:val="en-US" w:eastAsia="zh-CN" w:bidi="ar"/>
                    </w:rPr>
                    <w:t>上方设置集气罩收集废气，排风罩设计满足GB/T16758的要求，</w:t>
                  </w:r>
                  <w:r>
                    <w:rPr>
                      <w:rFonts w:hint="eastAsia" w:cs="Times New Roman"/>
                      <w:i w:val="0"/>
                      <w:iCs w:val="0"/>
                      <w:color w:val="auto"/>
                      <w:kern w:val="0"/>
                      <w:sz w:val="21"/>
                      <w:szCs w:val="21"/>
                      <w:u w:val="none"/>
                      <w:lang w:val="en-US" w:eastAsia="zh-CN" w:bidi="ar"/>
                    </w:rPr>
                    <w:t>喷漆晾干房采用整体负压收集，</w:t>
                  </w:r>
                  <w:r>
                    <w:rPr>
                      <w:rFonts w:hint="default" w:ascii="Times New Roman" w:hAnsi="Times New Roman" w:eastAsia="宋体" w:cs="Times New Roman"/>
                      <w:i w:val="0"/>
                      <w:iCs w:val="0"/>
                      <w:color w:val="auto"/>
                      <w:kern w:val="0"/>
                      <w:sz w:val="21"/>
                      <w:szCs w:val="21"/>
                      <w:u w:val="none"/>
                      <w:lang w:val="en-US" w:eastAsia="zh-CN" w:bidi="ar"/>
                    </w:rPr>
                    <w:t>废气收集后经处理达标排放。</w:t>
                  </w:r>
                </w:p>
              </w:tc>
              <w:tc>
                <w:tcPr>
                  <w:tcW w:w="589" w:type="pct"/>
                  <w:noWrap w:val="0"/>
                  <w:vAlign w:val="center"/>
                </w:tcPr>
                <w:p w14:paraId="7498B3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r w14:paraId="3DCF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28" w:type="pct"/>
                  <w:noWrap w:val="0"/>
                  <w:vAlign w:val="center"/>
                </w:tcPr>
                <w:p w14:paraId="6672DF7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w:t>
                  </w:r>
                </w:p>
              </w:tc>
              <w:tc>
                <w:tcPr>
                  <w:tcW w:w="2139" w:type="pct"/>
                  <w:noWrap w:val="0"/>
                  <w:vAlign w:val="center"/>
                </w:tcPr>
                <w:p w14:paraId="337EBE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末端治理：1、工艺过程废气应收集后排入废气处理系统处理；2、宜采用吸附、燃烧、喷淋吸收、生物、臭氧氧化、光氧化、等离子等技术；中、低浓度有机废气宜采用吸附浓缩-燃烧技术处理。</w:t>
                  </w:r>
                </w:p>
              </w:tc>
              <w:tc>
                <w:tcPr>
                  <w:tcW w:w="1842" w:type="pct"/>
                  <w:noWrap w:val="0"/>
                  <w:vAlign w:val="center"/>
                </w:tcPr>
                <w:p w14:paraId="2CEAE9F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注塑废气经集气罩收集后与喷漆房废气经过滤棉处理后，一同经二级活性炭吸附装置+15m高排气筒（DA001）处理后排放，破碎废气经集气罩+布袋除尘器+15m高排气筒（DA002）处理后排放</w:t>
                  </w:r>
                </w:p>
              </w:tc>
              <w:tc>
                <w:tcPr>
                  <w:tcW w:w="589" w:type="pct"/>
                  <w:noWrap w:val="0"/>
                  <w:vAlign w:val="center"/>
                </w:tcPr>
                <w:p w14:paraId="1C16330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符合</w:t>
                  </w:r>
                </w:p>
              </w:tc>
            </w:tr>
          </w:tbl>
          <w:p w14:paraId="08E3D6C7">
            <w:pPr>
              <w:topLinePunct/>
              <w:autoSpaceDE w:val="0"/>
              <w:adjustRightInd w:val="0"/>
              <w:snapToGrid w:val="0"/>
              <w:spacing w:line="360" w:lineRule="auto"/>
              <w:ind w:firstLine="482" w:firstLineChars="200"/>
              <w:rPr>
                <w:rFonts w:hint="eastAsia"/>
                <w:b/>
                <w:bCs/>
                <w:color w:val="auto"/>
                <w:sz w:val="24"/>
              </w:rPr>
            </w:pPr>
            <w:r>
              <w:rPr>
                <w:rFonts w:hint="eastAsia"/>
                <w:b/>
                <w:bCs/>
                <w:color w:val="auto"/>
                <w:sz w:val="24"/>
                <w:lang w:val="en-US" w:eastAsia="zh-CN"/>
              </w:rPr>
              <w:t>9</w:t>
            </w:r>
            <w:r>
              <w:rPr>
                <w:rFonts w:hint="eastAsia"/>
                <w:b/>
                <w:bCs/>
                <w:color w:val="auto"/>
                <w:sz w:val="24"/>
              </w:rPr>
              <w:t>、与《挥发性有机物无组织排放控制标准》（GB37822-2019）相符性分析</w:t>
            </w:r>
          </w:p>
          <w:p w14:paraId="507F1867">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 xml:space="preserve">表1-11  </w:t>
            </w:r>
            <w:r>
              <w:rPr>
                <w:rFonts w:hint="default" w:ascii="Times New Roman" w:hAnsi="Times New Roman" w:eastAsia="宋体" w:cs="Times New Roman"/>
                <w:b/>
                <w:color w:val="auto"/>
                <w:sz w:val="21"/>
                <w:szCs w:val="21"/>
                <w:highlight w:val="none"/>
                <w:lang w:val="en-US" w:eastAsia="zh-CN"/>
              </w:rPr>
              <w:t>与《挥发性有机物无组织排放控制标准》</w:t>
            </w:r>
            <w:r>
              <w:rPr>
                <w:rFonts w:hint="eastAsia" w:ascii="Times New Roman" w:hAnsi="Times New Roman" w:eastAsia="宋体" w:cs="Times New Roman"/>
                <w:b/>
                <w:color w:val="auto"/>
                <w:sz w:val="21"/>
                <w:szCs w:val="21"/>
                <w:highlight w:val="none"/>
                <w:lang w:val="en-US" w:eastAsia="zh-CN"/>
              </w:rPr>
              <w:t>（GB37822-2019）</w:t>
            </w:r>
          </w:p>
          <w:p w14:paraId="0278110C">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相符性分析一览表</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04"/>
              <w:gridCol w:w="3800"/>
              <w:gridCol w:w="2048"/>
              <w:gridCol w:w="711"/>
            </w:tblGrid>
            <w:tr w14:paraId="0CD68F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3175" w:type="pct"/>
                  <w:gridSpan w:val="2"/>
                  <w:noWrap w:val="0"/>
                  <w:vAlign w:val="center"/>
                </w:tcPr>
                <w:p w14:paraId="29AB7C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《挥发性有机物无组织排放控制标准》（GB37822-2019）</w:t>
                  </w:r>
                </w:p>
              </w:tc>
              <w:tc>
                <w:tcPr>
                  <w:tcW w:w="1353" w:type="pct"/>
                  <w:noWrap w:val="0"/>
                  <w:vAlign w:val="center"/>
                </w:tcPr>
                <w:p w14:paraId="147165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建设</w:t>
                  </w:r>
                  <w:r>
                    <w:rPr>
                      <w:rFonts w:hint="default" w:ascii="Times New Roman" w:hAnsi="Times New Roman" w:eastAsia="宋体" w:cs="Times New Roman"/>
                      <w:i w:val="0"/>
                      <w:iCs w:val="0"/>
                      <w:color w:val="auto"/>
                      <w:kern w:val="0"/>
                      <w:sz w:val="21"/>
                      <w:szCs w:val="21"/>
                      <w:u w:val="none"/>
                      <w:lang w:val="en-US" w:eastAsia="zh-CN" w:bidi="ar"/>
                    </w:rPr>
                    <w:t>项目情况</w:t>
                  </w:r>
                </w:p>
              </w:tc>
              <w:tc>
                <w:tcPr>
                  <w:tcW w:w="470" w:type="pct"/>
                  <w:noWrap w:val="0"/>
                  <w:vAlign w:val="center"/>
                </w:tcPr>
                <w:p w14:paraId="004210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相符性</w:t>
                  </w:r>
                </w:p>
              </w:tc>
            </w:tr>
            <w:tr w14:paraId="406865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3" w:type="pct"/>
                  <w:noWrap w:val="0"/>
                  <w:vAlign w:val="center"/>
                </w:tcPr>
                <w:p w14:paraId="04DB6D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物料储存无组织控制</w:t>
                  </w:r>
                </w:p>
              </w:tc>
              <w:tc>
                <w:tcPr>
                  <w:tcW w:w="2512" w:type="pct"/>
                  <w:noWrap w:val="0"/>
                  <w:vAlign w:val="center"/>
                </w:tcPr>
                <w:p w14:paraId="3859BA3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5.1基本要求</w:t>
                  </w:r>
                </w:p>
                <w:p w14:paraId="6C6FF39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物料应储存于密闭的容器、包装袋、储罐、储库、料仓中。</w:t>
                  </w:r>
                </w:p>
                <w:p w14:paraId="72A8D1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盛装</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物料的容器或包装袋应存放于室内，或存放于设置有雨棚、遮阳和防渗设施的专用场地。盛装</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物料的容器或包装袋在非取用状态时应加盖、封口，保持密闭。</w:t>
                  </w:r>
                </w:p>
              </w:tc>
              <w:tc>
                <w:tcPr>
                  <w:tcW w:w="1353" w:type="pct"/>
                  <w:noWrap w:val="0"/>
                  <w:vAlign w:val="center"/>
                </w:tcPr>
                <w:p w14:paraId="41A6B9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建设</w:t>
                  </w:r>
                  <w:r>
                    <w:rPr>
                      <w:rFonts w:hint="default" w:ascii="Times New Roman" w:hAnsi="Times New Roman" w:eastAsia="宋体" w:cs="Times New Roman"/>
                      <w:i w:val="0"/>
                      <w:iCs w:val="0"/>
                      <w:color w:val="auto"/>
                      <w:kern w:val="0"/>
                      <w:sz w:val="21"/>
                      <w:szCs w:val="21"/>
                      <w:u w:val="none"/>
                      <w:lang w:val="en-US" w:eastAsia="zh-CN" w:bidi="ar"/>
                    </w:rPr>
                    <w:t>项目的</w:t>
                  </w:r>
                  <w:r>
                    <w:rPr>
                      <w:rFonts w:hint="eastAsia" w:ascii="Times New Roman" w:hAnsi="Times New Roman" w:eastAsia="宋体" w:cs="Times New Roman"/>
                      <w:i w:val="0"/>
                      <w:iCs w:val="0"/>
                      <w:color w:val="auto"/>
                      <w:kern w:val="0"/>
                      <w:sz w:val="21"/>
                      <w:szCs w:val="21"/>
                      <w:u w:val="none"/>
                      <w:lang w:val="en-US" w:eastAsia="zh-CN" w:bidi="ar"/>
                    </w:rPr>
                    <w:t>含</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涂料</w:t>
                  </w:r>
                  <w:r>
                    <w:rPr>
                      <w:rFonts w:hint="default" w:ascii="Times New Roman" w:hAnsi="Times New Roman" w:eastAsia="宋体" w:cs="Times New Roman"/>
                      <w:i w:val="0"/>
                      <w:iCs w:val="0"/>
                      <w:color w:val="auto"/>
                      <w:kern w:val="0"/>
                      <w:sz w:val="21"/>
                      <w:szCs w:val="21"/>
                      <w:u w:val="none"/>
                      <w:lang w:val="en-US" w:eastAsia="zh-CN" w:bidi="ar"/>
                    </w:rPr>
                    <w:t>储存于密闭的包装桶中，并存放于专门的</w:t>
                  </w:r>
                  <w:r>
                    <w:rPr>
                      <w:rFonts w:hint="eastAsia" w:ascii="Times New Roman" w:hAnsi="Times New Roman" w:eastAsia="宋体" w:cs="Times New Roman"/>
                      <w:i w:val="0"/>
                      <w:iCs w:val="0"/>
                      <w:color w:val="auto"/>
                      <w:kern w:val="0"/>
                      <w:sz w:val="21"/>
                      <w:szCs w:val="21"/>
                      <w:u w:val="none"/>
                      <w:lang w:val="en-US" w:eastAsia="zh-CN" w:bidi="ar"/>
                    </w:rPr>
                    <w:t>漆料库</w:t>
                  </w:r>
                  <w:r>
                    <w:rPr>
                      <w:rFonts w:hint="default" w:ascii="Times New Roman" w:hAnsi="Times New Roman" w:eastAsia="宋体" w:cs="Times New Roman"/>
                      <w:i w:val="0"/>
                      <w:iCs w:val="0"/>
                      <w:color w:val="auto"/>
                      <w:kern w:val="0"/>
                      <w:sz w:val="21"/>
                      <w:szCs w:val="21"/>
                      <w:u w:val="none"/>
                      <w:lang w:val="en-US" w:eastAsia="zh-CN" w:bidi="ar"/>
                    </w:rPr>
                    <w:t>，在非取用状态时加盖、封口，保持密闭。</w:t>
                  </w:r>
                </w:p>
              </w:tc>
              <w:tc>
                <w:tcPr>
                  <w:tcW w:w="470" w:type="pct"/>
                  <w:noWrap w:val="0"/>
                  <w:vAlign w:val="center"/>
                </w:tcPr>
                <w:p w14:paraId="5DE969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相符</w:t>
                  </w:r>
                </w:p>
              </w:tc>
            </w:tr>
            <w:tr w14:paraId="254A0D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3" w:type="pct"/>
                  <w:noWrap w:val="0"/>
                  <w:vAlign w:val="center"/>
                </w:tcPr>
                <w:p w14:paraId="7AECD3E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6、</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物料转移和输送无组织排放控制要求</w:t>
                  </w:r>
                </w:p>
              </w:tc>
              <w:tc>
                <w:tcPr>
                  <w:tcW w:w="2512" w:type="pct"/>
                  <w:noWrap w:val="0"/>
                  <w:vAlign w:val="center"/>
                </w:tcPr>
                <w:p w14:paraId="2A5547F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6.1基本要求</w:t>
                  </w:r>
                </w:p>
                <w:p w14:paraId="2605FBD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液态</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物料应采用密闭管道输送。采用非管道输送方式转移液态</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物料时，应采用密闭容器、罐车。</w:t>
                  </w:r>
                </w:p>
              </w:tc>
              <w:tc>
                <w:tcPr>
                  <w:tcW w:w="1353" w:type="pct"/>
                  <w:noWrap w:val="0"/>
                  <w:vAlign w:val="center"/>
                </w:tcPr>
                <w:p w14:paraId="2EA3D6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建设项目含</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涂料储存于密闭的包装桶中，在厂内使用转移过程保持包装桶密闭。漆料使用时运送到密闭喷漆房内进行开盖调配。</w:t>
                  </w:r>
                </w:p>
              </w:tc>
              <w:tc>
                <w:tcPr>
                  <w:tcW w:w="470" w:type="pct"/>
                  <w:noWrap w:val="0"/>
                  <w:vAlign w:val="center"/>
                </w:tcPr>
                <w:p w14:paraId="13F957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相符</w:t>
                  </w:r>
                </w:p>
              </w:tc>
            </w:tr>
            <w:tr w14:paraId="1A87A9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3" w:type="pct"/>
                  <w:noWrap w:val="0"/>
                  <w:vAlign w:val="center"/>
                </w:tcPr>
                <w:p w14:paraId="43CA3A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7、</w:t>
                  </w:r>
                  <w:r>
                    <w:rPr>
                      <w:rFonts w:hint="default" w:ascii="Times New Roman" w:hAnsi="Times New Roman" w:eastAsia="宋体" w:cs="Times New Roman"/>
                      <w:i w:val="0"/>
                      <w:iCs w:val="0"/>
                      <w:color w:val="auto"/>
                      <w:kern w:val="0"/>
                      <w:sz w:val="21"/>
                      <w:szCs w:val="21"/>
                      <w:u w:val="none"/>
                      <w:lang w:val="en-US" w:eastAsia="zh-CN" w:bidi="ar"/>
                    </w:rPr>
                    <w:t>工艺过程</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无组织排放控制要求</w:t>
                  </w:r>
                </w:p>
              </w:tc>
              <w:tc>
                <w:tcPr>
                  <w:tcW w:w="2512" w:type="pct"/>
                  <w:noWrap w:val="0"/>
                  <w:vAlign w:val="center"/>
                </w:tcPr>
                <w:p w14:paraId="252569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7.3其他要求</w:t>
                  </w:r>
                </w:p>
                <w:p w14:paraId="07E13FD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7.3.1企业应建立台账，记录含</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原辅材料和含</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产品的名称、使用量、回收量、废弃量、去向以及</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含量等信息。台账保存期限不少于3年。</w:t>
                  </w:r>
                </w:p>
                <w:p w14:paraId="422F29F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7.3.2通风生产设备、操作工位、车间厂房等应在符合安全生产、职业卫生相关规定的前提下，根据行业作业规程与标准、工业建筑及洁净厂房通风设计规范等的要求，采用合理的通风量。</w:t>
                  </w:r>
                </w:p>
                <w:p w14:paraId="15527E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7.3.3载有</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物料的设备及其管道在开停工（车）、检维修和清洗时，应在退料阶段将残存物料退净，并用密闭容器盛装，退料过程废气应排至</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废气收集处理系统；清洗及吹扫过程排气应排至</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废气收集处理系统。</w:t>
                  </w:r>
                </w:p>
                <w:p w14:paraId="2C584B5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7.3.4工艺过程产生的含</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废料（渣、液）应按照第5章、第6章的要求进行储存、转移和输送。</w:t>
                  </w:r>
                </w:p>
                <w:p w14:paraId="1CA6AB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盛装过</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物料的废包装容器应加盖密闭。</w:t>
                  </w:r>
                </w:p>
              </w:tc>
              <w:tc>
                <w:tcPr>
                  <w:tcW w:w="1353" w:type="pct"/>
                  <w:noWrap w:val="0"/>
                  <w:vAlign w:val="center"/>
                </w:tcPr>
                <w:p w14:paraId="30BAA4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（1）企业按要求建立台账，记录含</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原辅材料和含</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产品的名称、使用量、回收量、废弃量、去向以及</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含量等信息。台账保存期限不少于3年。</w:t>
                  </w:r>
                </w:p>
                <w:p w14:paraId="30521B1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（2）车间按要求设置通风设施，使其符合安全生产、职业卫生相关规定。</w:t>
                  </w:r>
                </w:p>
                <w:p w14:paraId="577EA9E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（3）评价要求建设单位在开停车、检维修时，对载有</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物料的设备及其管道应在退料阶段将残存物料退净，并用密闭容器盛装，退料过程废气应排至</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废气收集处理系统。</w:t>
                  </w:r>
                </w:p>
                <w:p w14:paraId="41CC33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（4）工艺过程产生的含</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废料（渣、液）按照要求进行储存、转移和输送。</w:t>
                  </w:r>
                </w:p>
                <w:p w14:paraId="402981F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（5）废包装桶暂存于危废间，废包装桶贮存时加盖。</w:t>
                  </w:r>
                </w:p>
              </w:tc>
              <w:tc>
                <w:tcPr>
                  <w:tcW w:w="470" w:type="pct"/>
                  <w:noWrap w:val="0"/>
                  <w:vAlign w:val="center"/>
                </w:tcPr>
                <w:p w14:paraId="67D3B2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相符</w:t>
                  </w:r>
                </w:p>
              </w:tc>
            </w:tr>
            <w:tr w14:paraId="696C52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3" w:type="pct"/>
                  <w:noWrap w:val="0"/>
                  <w:vAlign w:val="center"/>
                </w:tcPr>
                <w:p w14:paraId="2B7A59F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8、设备与管线组件</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泄漏控制要求</w:t>
                  </w:r>
                </w:p>
              </w:tc>
              <w:tc>
                <w:tcPr>
                  <w:tcW w:w="2512" w:type="pct"/>
                  <w:noWrap w:val="0"/>
                  <w:vAlign w:val="center"/>
                </w:tcPr>
                <w:p w14:paraId="79DFFEF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企业中载有气态</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物料、液态</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物料的设备与管线组件的密封点≥2000个，应开展泄漏检测与修复工作。</w:t>
                  </w:r>
                </w:p>
              </w:tc>
              <w:tc>
                <w:tcPr>
                  <w:tcW w:w="1353" w:type="pct"/>
                  <w:noWrap w:val="0"/>
                  <w:vAlign w:val="center"/>
                </w:tcPr>
                <w:p w14:paraId="339DBD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按要求开展泄漏检测与修复工作。</w:t>
                  </w:r>
                </w:p>
              </w:tc>
              <w:tc>
                <w:tcPr>
                  <w:tcW w:w="470" w:type="pct"/>
                  <w:noWrap w:val="0"/>
                  <w:vAlign w:val="center"/>
                </w:tcPr>
                <w:p w14:paraId="0065BA0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相符</w:t>
                  </w:r>
                </w:p>
              </w:tc>
            </w:tr>
            <w:tr w14:paraId="638A8F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3" w:type="pct"/>
                  <w:noWrap w:val="0"/>
                  <w:vAlign w:val="center"/>
                </w:tcPr>
                <w:p w14:paraId="49D3F4B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r>
                    <w:rPr>
                      <w:rFonts w:hint="eastAsia"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无组织排放废气收集处理系统要求</w:t>
                  </w:r>
                </w:p>
              </w:tc>
              <w:tc>
                <w:tcPr>
                  <w:tcW w:w="2512" w:type="pct"/>
                  <w:noWrap w:val="0"/>
                  <w:vAlign w:val="center"/>
                </w:tcPr>
                <w:p w14:paraId="454851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10.1基本要求</w:t>
                  </w:r>
                </w:p>
                <w:p w14:paraId="082C5D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10.1.1针对</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无组织排放设置的废气收集处理系统应满足本章要求。</w:t>
                  </w:r>
                </w:p>
                <w:p w14:paraId="402CF85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10.1.2 </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废气收集处理系统应与生产工艺设备同步运行。</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废气收集处理系统发生故障或检修时，对应的生产工艺设备应停止运行，待检修完毕后同步投入使用；生产工艺设备不能停止运行或不能及时停止运行的，应设置废气应急处理设施或采取其他替代措施。</w:t>
                  </w:r>
                </w:p>
                <w:p w14:paraId="661894F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10.2废气收集系统要求</w:t>
                  </w:r>
                </w:p>
                <w:p w14:paraId="5FA82C5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10.2.1企业应考虑生产工艺、操作方式、废气性质、处理方法等因素，对</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废气进行分类收集。</w:t>
                  </w:r>
                </w:p>
                <w:p w14:paraId="71074F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10.2.2废气收集系统排风罩（集气罩）的设置应符合GB/T16758的规定。采用外部排风罩的，应按GB/T16758、AQ/T4274—2016规定的方法测量控制风速，测量点应选取在距排风罩开口面最远处的</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无组织排放位置，控制风速不应低于0.3m/s（行业相关规范有具体规定的，按相关规定执行）。</w:t>
                  </w:r>
                </w:p>
                <w:p w14:paraId="65102BA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10.2.3废气收集系统的输送管道应密闭。废气收集系统应在负压下运行，若处于正压状态，应对输送管道组件的密封点进行泄漏检测，泄漏检测值不应超过500mmol/mol，亦不应有感官可察觉泄漏。泄漏检测频次、修复与记录的要求按照第8章规定执行。</w:t>
                  </w:r>
                </w:p>
                <w:p w14:paraId="27FC6BC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10.3</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排放控制要求</w:t>
                  </w:r>
                </w:p>
                <w:p w14:paraId="4DDEF3C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10.3.1</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废气收集处理系统污染物排放应符合GB16297或相关行业排放标准的规定。</w:t>
                  </w:r>
                </w:p>
                <w:p w14:paraId="5ECD7FE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10.3.2收集的废气中NMHC初始排放速率≥3kg/h时，应配置</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处理设施，处理效率不应低于80%；对于重点地区，收集的废气中NMHC初始排放速率≥2kg/h时，应配置</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处理设施，处理效率不应低于80%；采用的原辅材料符合国家有关低</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含量产品规定的除外。</w:t>
                  </w:r>
                </w:p>
                <w:p w14:paraId="6DBA06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10.3.4排气筒高度不低于15m（因安全考虑或有特殊工艺要求的除外），具体高度以及与周围建筑物的相对高度关系应根据环境影响评价文件确定。</w:t>
                  </w:r>
                </w:p>
                <w:p w14:paraId="7B1CFD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10.3.5 当执行不同排放控制要求的废气合并排气筒排放时，应在废气混合前进行监测，并执行相应的排放控制要求；若可选择的监控位置只能对混合后的废气进行监测，则应按各排放控制要求中最严格的规定执行</w:t>
                  </w:r>
                  <w:r>
                    <w:rPr>
                      <w:rFonts w:hint="eastAsia" w:ascii="Times New Roman" w:hAnsi="Times New Roman" w:eastAsia="宋体" w:cs="Times New Roman"/>
                      <w:i w:val="0"/>
                      <w:iCs w:val="0"/>
                      <w:color w:val="auto"/>
                      <w:kern w:val="0"/>
                      <w:sz w:val="21"/>
                      <w:szCs w:val="21"/>
                      <w:u w:val="none"/>
                      <w:lang w:val="en-US" w:eastAsia="zh-CN" w:bidi="ar"/>
                    </w:rPr>
                    <w:t>。</w:t>
                  </w:r>
                </w:p>
                <w:p w14:paraId="753E22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10.4记录要求企业应建立台账，记录废气收集系统、</w:t>
                  </w:r>
                  <w:r>
                    <w:rPr>
                      <w:rFonts w:hint="eastAsia" w:cs="Times New Roman"/>
                      <w:i w:val="0"/>
                      <w:iCs w:val="0"/>
                      <w:color w:val="auto"/>
                      <w:kern w:val="0"/>
                      <w:sz w:val="21"/>
                      <w:szCs w:val="21"/>
                      <w:u w:val="none"/>
                      <w:lang w:val="en-US" w:eastAsia="zh-CN" w:bidi="ar"/>
                    </w:rPr>
                    <w:t>VOCS</w:t>
                  </w:r>
                  <w:r>
                    <w:rPr>
                      <w:rFonts w:hint="default" w:ascii="Times New Roman" w:hAnsi="Times New Roman" w:eastAsia="宋体" w:cs="Times New Roman"/>
                      <w:i w:val="0"/>
                      <w:iCs w:val="0"/>
                      <w:color w:val="auto"/>
                      <w:kern w:val="0"/>
                      <w:sz w:val="21"/>
                      <w:szCs w:val="21"/>
                      <w:u w:val="none"/>
                      <w:lang w:val="en-US" w:eastAsia="zh-CN" w:bidi="ar"/>
                    </w:rPr>
                    <w:t xml:space="preserve"> 处理设施的主要运行和维护信息，如运行时间、废气处理量、操作温度、停留时间、吸附剂再生/更换周期和更换量、催化剂更换周期和更换量、吸收液pH值等关键运行参数。台账保存期限不少于3年。</w:t>
                  </w:r>
                </w:p>
              </w:tc>
              <w:tc>
                <w:tcPr>
                  <w:tcW w:w="1353" w:type="pct"/>
                  <w:noWrap w:val="0"/>
                  <w:vAlign w:val="center"/>
                </w:tcPr>
                <w:p w14:paraId="33DFDF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评价要求</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废气收集处理系统应与生产工艺设备同步运行。</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废气收集处理系统发生故障或检修时，对应的生产工艺设备应停止运行，待检修完毕后同步投入使用</w:t>
                  </w:r>
                </w:p>
                <w:p w14:paraId="6071AD9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喷漆</w:t>
                  </w:r>
                  <w:r>
                    <w:rPr>
                      <w:rFonts w:hint="eastAsia" w:cs="Times New Roman"/>
                      <w:i w:val="0"/>
                      <w:iCs w:val="0"/>
                      <w:color w:val="auto"/>
                      <w:kern w:val="0"/>
                      <w:sz w:val="21"/>
                      <w:szCs w:val="21"/>
                      <w:u w:val="none"/>
                      <w:lang w:val="en-US" w:eastAsia="zh-CN" w:bidi="ar"/>
                    </w:rPr>
                    <w:t>晾干</w:t>
                  </w:r>
                  <w:r>
                    <w:rPr>
                      <w:rFonts w:hint="eastAsia" w:ascii="Times New Roman" w:hAnsi="Times New Roman" w:eastAsia="宋体" w:cs="Times New Roman"/>
                      <w:i w:val="0"/>
                      <w:iCs w:val="0"/>
                      <w:color w:val="auto"/>
                      <w:kern w:val="0"/>
                      <w:sz w:val="21"/>
                      <w:szCs w:val="21"/>
                      <w:u w:val="none"/>
                      <w:lang w:val="en-US" w:eastAsia="zh-CN" w:bidi="ar"/>
                    </w:rPr>
                    <w:t>过程在独立密闭的喷漆</w:t>
                  </w:r>
                  <w:r>
                    <w:rPr>
                      <w:rFonts w:hint="eastAsia" w:cs="Times New Roman"/>
                      <w:i w:val="0"/>
                      <w:iCs w:val="0"/>
                      <w:color w:val="auto"/>
                      <w:kern w:val="0"/>
                      <w:sz w:val="21"/>
                      <w:szCs w:val="21"/>
                      <w:u w:val="none"/>
                      <w:lang w:val="en-US" w:eastAsia="zh-CN" w:bidi="ar"/>
                    </w:rPr>
                    <w:t>晾干</w:t>
                  </w:r>
                  <w:r>
                    <w:rPr>
                      <w:rFonts w:hint="eastAsia" w:ascii="Times New Roman" w:hAnsi="Times New Roman" w:eastAsia="宋体" w:cs="Times New Roman"/>
                      <w:i w:val="0"/>
                      <w:iCs w:val="0"/>
                      <w:color w:val="auto"/>
                      <w:kern w:val="0"/>
                      <w:sz w:val="21"/>
                      <w:szCs w:val="21"/>
                      <w:u w:val="none"/>
                      <w:lang w:val="en-US" w:eastAsia="zh-CN" w:bidi="ar"/>
                    </w:rPr>
                    <w:t>房内，废气密闭收集至“过滤棉+二级活性炭纤维吸附装置”处理后通过15m高DA00</w:t>
                  </w:r>
                  <w:r>
                    <w:rPr>
                      <w:rFonts w:hint="eastAsia" w:cs="Times New Roman"/>
                      <w:i w:val="0"/>
                      <w:iCs w:val="0"/>
                      <w:color w:val="auto"/>
                      <w:kern w:val="0"/>
                      <w:sz w:val="21"/>
                      <w:szCs w:val="21"/>
                      <w:u w:val="none"/>
                      <w:lang w:val="en-US" w:eastAsia="zh-CN" w:bidi="ar"/>
                    </w:rPr>
                    <w:t>1</w:t>
                  </w:r>
                  <w:r>
                    <w:rPr>
                      <w:rFonts w:hint="eastAsia" w:ascii="Times New Roman" w:hAnsi="Times New Roman" w:eastAsia="宋体" w:cs="Times New Roman"/>
                      <w:i w:val="0"/>
                      <w:iCs w:val="0"/>
                      <w:color w:val="auto"/>
                      <w:kern w:val="0"/>
                      <w:sz w:val="21"/>
                      <w:szCs w:val="21"/>
                      <w:u w:val="none"/>
                      <w:lang w:val="en-US" w:eastAsia="zh-CN" w:bidi="ar"/>
                    </w:rPr>
                    <w:t>排气筒排放，有机废气处理效率90%。</w:t>
                  </w:r>
                </w:p>
                <w:p w14:paraId="3C5F6B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排放符合《大气污染物综合排放标准》（GB16297_1996）、《挥发性有机物无组织排放控制标准》（GB37822-2019）要求。</w:t>
                  </w:r>
                </w:p>
                <w:p w14:paraId="2D24BD7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评价要求建设单位建立台账，记录废气收集系统、</w:t>
                  </w:r>
                  <w:r>
                    <w:rPr>
                      <w:rFonts w:hint="eastAsia" w:cs="Times New Roman"/>
                      <w:i w:val="0"/>
                      <w:iCs w:val="0"/>
                      <w:color w:val="auto"/>
                      <w:kern w:val="0"/>
                      <w:sz w:val="21"/>
                      <w:szCs w:val="21"/>
                      <w:u w:val="none"/>
                      <w:lang w:val="en-US" w:eastAsia="zh-CN" w:bidi="ar"/>
                    </w:rPr>
                    <w:t>VOCS</w:t>
                  </w:r>
                  <w:r>
                    <w:rPr>
                      <w:rFonts w:hint="eastAsia" w:ascii="Times New Roman" w:hAnsi="Times New Roman" w:eastAsia="宋体" w:cs="Times New Roman"/>
                      <w:i w:val="0"/>
                      <w:iCs w:val="0"/>
                      <w:color w:val="auto"/>
                      <w:kern w:val="0"/>
                      <w:sz w:val="21"/>
                      <w:szCs w:val="21"/>
                      <w:u w:val="none"/>
                      <w:lang w:val="en-US" w:eastAsia="zh-CN" w:bidi="ar"/>
                    </w:rPr>
                    <w:t>处理设施的主要运行和维护信息台账保存期限不少于3年。</w:t>
                  </w:r>
                </w:p>
              </w:tc>
              <w:tc>
                <w:tcPr>
                  <w:tcW w:w="470" w:type="pct"/>
                  <w:noWrap w:val="0"/>
                  <w:vAlign w:val="center"/>
                </w:tcPr>
                <w:p w14:paraId="2D1C571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相符</w:t>
                  </w:r>
                </w:p>
              </w:tc>
            </w:tr>
          </w:tbl>
          <w:p w14:paraId="0F20D080">
            <w:pPr>
              <w:topLinePunct/>
              <w:autoSpaceDE w:val="0"/>
              <w:adjustRightInd w:val="0"/>
              <w:snapToGrid w:val="0"/>
              <w:spacing w:line="360" w:lineRule="auto"/>
              <w:ind w:firstLine="482" w:firstLineChars="200"/>
              <w:rPr>
                <w:rFonts w:hint="eastAsia" w:ascii="Times New Roman" w:hAnsi="Times New Roman" w:eastAsia="宋体" w:cs="Times New Roman"/>
                <w:b/>
                <w:bCs/>
                <w:color w:val="auto"/>
                <w:sz w:val="24"/>
                <w:lang w:val="en-US" w:eastAsia="zh-CN"/>
              </w:rPr>
            </w:pPr>
            <w:r>
              <w:rPr>
                <w:rFonts w:hint="eastAsia" w:cs="Times New Roman"/>
                <w:b/>
                <w:bCs/>
                <w:color w:val="auto"/>
                <w:sz w:val="24"/>
                <w:lang w:val="en-US" w:eastAsia="zh-CN"/>
              </w:rPr>
              <w:t>10</w:t>
            </w:r>
            <w:r>
              <w:rPr>
                <w:rFonts w:hint="eastAsia" w:ascii="Times New Roman" w:hAnsi="Times New Roman" w:eastAsia="宋体" w:cs="Times New Roman"/>
                <w:b/>
                <w:bCs/>
                <w:color w:val="auto"/>
                <w:sz w:val="24"/>
                <w:lang w:val="en-US" w:eastAsia="zh-CN"/>
              </w:rPr>
              <w:t>、与《关于印发&lt;重点行业挥发性有机物综合治理方案&gt;的通知》（环大气[2019] 53号）符合性分析</w:t>
            </w:r>
          </w:p>
          <w:p w14:paraId="1D1F060A">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表1-</w:t>
            </w:r>
            <w:r>
              <w:rPr>
                <w:rFonts w:hint="eastAsia" w:cs="Times New Roman"/>
                <w:b/>
                <w:color w:val="auto"/>
                <w:sz w:val="21"/>
                <w:szCs w:val="21"/>
                <w:highlight w:val="none"/>
                <w:lang w:val="en-US" w:eastAsia="zh-CN"/>
              </w:rPr>
              <w:t>12</w:t>
            </w:r>
            <w:r>
              <w:rPr>
                <w:rFonts w:hint="eastAsia" w:ascii="Times New Roman" w:hAnsi="Times New Roman" w:eastAsia="宋体" w:cs="Times New Roman"/>
                <w:b/>
                <w:color w:val="auto"/>
                <w:sz w:val="21"/>
                <w:szCs w:val="21"/>
                <w:highlight w:val="none"/>
                <w:lang w:val="en-US" w:eastAsia="zh-CN"/>
              </w:rPr>
              <w:t xml:space="preserve">  与《关于印发&lt;重点行业挥发性有机物综合治理方案&gt;的通知》</w:t>
            </w:r>
          </w:p>
          <w:p w14:paraId="483EA25D">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（环大气[2019] 53号）符合性分析一览表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
              <w:gridCol w:w="4858"/>
              <w:gridCol w:w="1388"/>
              <w:gridCol w:w="844"/>
            </w:tblGrid>
            <w:tr w14:paraId="009C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tcBorders>
                    <w:top w:val="single" w:color="auto" w:sz="4" w:space="0"/>
                    <w:left w:val="single" w:color="auto" w:sz="4" w:space="0"/>
                    <w:right w:val="single" w:color="auto" w:sz="4" w:space="0"/>
                  </w:tcBorders>
                  <w:noWrap w:val="0"/>
                  <w:vAlign w:val="center"/>
                </w:tcPr>
                <w:p w14:paraId="5A53AD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4864" w:type="dxa"/>
                  <w:tcBorders>
                    <w:top w:val="single" w:color="auto" w:sz="4" w:space="0"/>
                    <w:left w:val="single" w:color="auto" w:sz="4" w:space="0"/>
                    <w:bottom w:val="single" w:color="auto" w:sz="4" w:space="0"/>
                    <w:right w:val="single" w:color="auto" w:sz="4" w:space="0"/>
                  </w:tcBorders>
                  <w:noWrap w:val="0"/>
                  <w:vAlign w:val="center"/>
                </w:tcPr>
                <w:p w14:paraId="4729C8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方案</w:t>
                  </w:r>
                  <w:r>
                    <w:rPr>
                      <w:rFonts w:hint="default" w:ascii="Times New Roman" w:hAnsi="Times New Roman" w:eastAsia="宋体" w:cs="Times New Roman"/>
                      <w:b/>
                      <w:bCs/>
                      <w:color w:val="auto"/>
                      <w:sz w:val="21"/>
                      <w:szCs w:val="21"/>
                      <w:highlight w:val="none"/>
                      <w:vertAlign w:val="baseline"/>
                      <w:lang w:val="en-US" w:eastAsia="zh-CN"/>
                    </w:rPr>
                    <w:t>要求</w:t>
                  </w:r>
                </w:p>
              </w:tc>
              <w:tc>
                <w:tcPr>
                  <w:tcW w:w="1389" w:type="dxa"/>
                  <w:tcBorders>
                    <w:top w:val="single" w:color="auto" w:sz="4" w:space="0"/>
                    <w:left w:val="single" w:color="auto" w:sz="4" w:space="0"/>
                    <w:right w:val="single" w:color="auto" w:sz="4" w:space="0"/>
                  </w:tcBorders>
                  <w:noWrap w:val="0"/>
                  <w:vAlign w:val="center"/>
                </w:tcPr>
                <w:p w14:paraId="1FBE230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default" w:ascii="Times New Roman" w:hAnsi="Times New Roman" w:eastAsia="宋体" w:cs="Times New Roman"/>
                      <w:b/>
                      <w:bCs/>
                      <w:color w:val="auto"/>
                      <w:sz w:val="21"/>
                      <w:szCs w:val="21"/>
                      <w:highlight w:val="none"/>
                      <w:vertAlign w:val="baseline"/>
                      <w:lang w:val="en-US" w:eastAsia="zh-CN"/>
                    </w:rPr>
                    <w:t>本项目情况</w:t>
                  </w:r>
                </w:p>
              </w:tc>
              <w:tc>
                <w:tcPr>
                  <w:tcW w:w="846" w:type="dxa"/>
                  <w:tcBorders>
                    <w:top w:val="single" w:color="auto" w:sz="4" w:space="0"/>
                    <w:left w:val="single" w:color="auto" w:sz="4" w:space="0"/>
                    <w:right w:val="single" w:color="auto" w:sz="4" w:space="0"/>
                  </w:tcBorders>
                  <w:noWrap w:val="0"/>
                  <w:vAlign w:val="center"/>
                </w:tcPr>
                <w:p w14:paraId="63756FA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s="Times New Roman"/>
                      <w:b/>
                      <w:bCs/>
                      <w:color w:val="auto"/>
                      <w:sz w:val="21"/>
                      <w:szCs w:val="21"/>
                      <w:highlight w:val="none"/>
                      <w:shd w:val="clear" w:color="auto" w:fill="auto"/>
                      <w:vertAlign w:val="baseline"/>
                      <w:lang w:val="en-US" w:eastAsia="zh-CN"/>
                    </w:rPr>
                    <w:t>符合性</w:t>
                  </w:r>
                </w:p>
              </w:tc>
            </w:tr>
            <w:tr w14:paraId="279F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tcBorders>
                    <w:top w:val="single" w:color="auto" w:sz="4" w:space="0"/>
                    <w:left w:val="single" w:color="auto" w:sz="4" w:space="0"/>
                    <w:bottom w:val="single" w:color="auto" w:sz="4" w:space="0"/>
                    <w:right w:val="single" w:color="auto" w:sz="4" w:space="0"/>
                  </w:tcBorders>
                  <w:noWrap w:val="0"/>
                  <w:vAlign w:val="center"/>
                </w:tcPr>
                <w:p w14:paraId="2A907CC5">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w:t>
                  </w:r>
                </w:p>
              </w:tc>
              <w:tc>
                <w:tcPr>
                  <w:tcW w:w="4864" w:type="dxa"/>
                  <w:tcBorders>
                    <w:top w:val="single" w:color="auto" w:sz="4" w:space="0"/>
                    <w:left w:val="single" w:color="auto" w:sz="4" w:space="0"/>
                    <w:bottom w:val="single" w:color="auto" w:sz="4" w:space="0"/>
                    <w:right w:val="single" w:color="auto" w:sz="4" w:space="0"/>
                  </w:tcBorders>
                  <w:noWrap w:val="0"/>
                  <w:vAlign w:val="center"/>
                </w:tcPr>
                <w:p w14:paraId="75105302">
                  <w:pPr>
                    <w:pStyle w:val="74"/>
                    <w:keepNext w:val="0"/>
                    <w:keepLines w:val="0"/>
                    <w:pageBreakBefore w:val="0"/>
                    <w:kinsoku/>
                    <w:wordWrap/>
                    <w:overflowPunct/>
                    <w:topLinePunct w:val="0"/>
                    <w:bidi w:val="0"/>
                    <w:adjustRightInd/>
                    <w:spacing w:line="240" w:lineRule="auto"/>
                    <w:ind w:right="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通过使用水性、粉末、高固体分、无溶剂、辐射固化等低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含量的涂料，水性、辐射固化、植物基等低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含量的油墨，水基、热熔、无溶剂、辐射固化、改性、生物降解等低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含量的胶粘剂，以及低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含量、低反应活性的清洗剂等，替代溶剂型涂料、油墨、胶粘剂、清洗剂等，从源头减少</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产生。</w:t>
                  </w:r>
                </w:p>
              </w:tc>
              <w:tc>
                <w:tcPr>
                  <w:tcW w:w="1389" w:type="dxa"/>
                  <w:tcBorders>
                    <w:top w:val="single" w:color="auto" w:sz="4" w:space="0"/>
                    <w:left w:val="single" w:color="auto" w:sz="4" w:space="0"/>
                    <w:bottom w:val="single" w:color="auto" w:sz="4" w:space="0"/>
                    <w:right w:val="single" w:color="auto" w:sz="4" w:space="0"/>
                  </w:tcBorders>
                  <w:noWrap w:val="0"/>
                  <w:vAlign w:val="center"/>
                </w:tcPr>
                <w:p w14:paraId="63A150DE">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本项目</w:t>
                  </w:r>
                  <w:r>
                    <w:rPr>
                      <w:rFonts w:hint="eastAsia" w:ascii="Times New Roman" w:hAnsi="Times New Roman" w:eastAsia="宋体"/>
                      <w:color w:val="auto"/>
                      <w:sz w:val="21"/>
                      <w:szCs w:val="21"/>
                      <w:highlight w:val="none"/>
                      <w:lang w:eastAsia="zh-CN"/>
                    </w:rPr>
                    <w:t>喷漆</w:t>
                  </w:r>
                  <w:r>
                    <w:rPr>
                      <w:rFonts w:hint="default" w:ascii="Times New Roman" w:hAnsi="Times New Roman" w:eastAsia="宋体" w:cs="Times New Roman"/>
                      <w:color w:val="auto"/>
                      <w:sz w:val="21"/>
                      <w:szCs w:val="21"/>
                    </w:rPr>
                    <w:t>使用水性</w:t>
                  </w:r>
                  <w:r>
                    <w:rPr>
                      <w:rFonts w:hint="eastAsia" w:ascii="Times New Roman" w:hAnsi="Times New Roman" w:eastAsia="宋体" w:cs="Times New Roman"/>
                      <w:color w:val="auto"/>
                      <w:sz w:val="21"/>
                      <w:szCs w:val="21"/>
                      <w:lang w:eastAsia="zh-CN"/>
                    </w:rPr>
                    <w:t>涂料</w:t>
                  </w:r>
                  <w:r>
                    <w:rPr>
                      <w:rFonts w:hint="eastAsia" w:ascii="Times New Roman" w:hAnsi="Times New Roman" w:eastAsia="宋体"/>
                      <w:color w:val="auto"/>
                      <w:sz w:val="21"/>
                      <w:szCs w:val="21"/>
                      <w:highlight w:val="none"/>
                    </w:rPr>
                    <w:t>。</w:t>
                  </w:r>
                </w:p>
              </w:tc>
              <w:tc>
                <w:tcPr>
                  <w:tcW w:w="846" w:type="dxa"/>
                  <w:tcBorders>
                    <w:top w:val="single" w:color="auto" w:sz="4" w:space="0"/>
                    <w:left w:val="single" w:color="auto" w:sz="4" w:space="0"/>
                    <w:bottom w:val="single" w:color="auto" w:sz="4" w:space="0"/>
                    <w:right w:val="single" w:color="auto" w:sz="4" w:space="0"/>
                  </w:tcBorders>
                  <w:noWrap w:val="0"/>
                  <w:vAlign w:val="center"/>
                </w:tcPr>
                <w:p w14:paraId="37E59F7C">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符合</w:t>
                  </w:r>
                </w:p>
              </w:tc>
            </w:tr>
            <w:tr w14:paraId="72C7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tcBorders>
                    <w:top w:val="single" w:color="auto" w:sz="4" w:space="0"/>
                    <w:left w:val="single" w:color="auto" w:sz="4" w:space="0"/>
                    <w:bottom w:val="single" w:color="auto" w:sz="4" w:space="0"/>
                    <w:right w:val="single" w:color="auto" w:sz="4" w:space="0"/>
                  </w:tcBorders>
                  <w:noWrap w:val="0"/>
                  <w:vAlign w:val="center"/>
                </w:tcPr>
                <w:p w14:paraId="0F6A32BB">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2</w:t>
                  </w:r>
                </w:p>
              </w:tc>
              <w:tc>
                <w:tcPr>
                  <w:tcW w:w="4864" w:type="dxa"/>
                  <w:tcBorders>
                    <w:top w:val="single" w:color="auto" w:sz="4" w:space="0"/>
                    <w:left w:val="single" w:color="auto" w:sz="4" w:space="0"/>
                    <w:bottom w:val="single" w:color="auto" w:sz="4" w:space="0"/>
                    <w:right w:val="single" w:color="auto" w:sz="4" w:space="0"/>
                  </w:tcBorders>
                  <w:noWrap w:val="0"/>
                  <w:vAlign w:val="center"/>
                </w:tcPr>
                <w:p w14:paraId="7045B71B">
                  <w:pPr>
                    <w:pStyle w:val="74"/>
                    <w:keepNext w:val="0"/>
                    <w:keepLines w:val="0"/>
                    <w:pageBreakBefore w:val="0"/>
                    <w:kinsoku/>
                    <w:wordWrap/>
                    <w:overflowPunct/>
                    <w:topLinePunct w:val="0"/>
                    <w:bidi w:val="0"/>
                    <w:adjustRightInd/>
                    <w:spacing w:line="240" w:lineRule="auto"/>
                    <w:ind w:right="0" w:firstLine="0" w:firstLineChars="0"/>
                    <w:jc w:val="center"/>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重点对含</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物料（包括含</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原辅材料、含</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产品、含</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废料以及有机聚合物材料等）储存、转移和输送、设备与管线组件泄漏、敞开液面逸散以及工艺过程等五类排放源实施管控，通过采取设备与场所密闭、工艺改进、废气有效收集等措施，削减</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无组织排放。加强设备与场所密闭管理。</w:t>
                  </w:r>
                  <w:r>
                    <w:rPr>
                      <w:rFonts w:ascii="Times New Roman" w:hAnsi="Times New Roman" w:eastAsia="宋体"/>
                      <w:color w:val="auto"/>
                      <w:spacing w:val="7"/>
                      <w:sz w:val="21"/>
                      <w:szCs w:val="21"/>
                      <w:highlight w:val="none"/>
                    </w:rPr>
                    <w:t>提高废气收集率。遵循</w:t>
                  </w:r>
                  <w:r>
                    <w:rPr>
                      <w:rFonts w:hint="eastAsia" w:cs="Times New Roman"/>
                      <w:color w:val="auto"/>
                      <w:spacing w:val="7"/>
                      <w:sz w:val="21"/>
                      <w:szCs w:val="21"/>
                      <w:highlight w:val="none"/>
                      <w:lang w:eastAsia="zh-CN"/>
                    </w:rPr>
                    <w:t>“</w:t>
                  </w:r>
                  <w:r>
                    <w:rPr>
                      <w:rFonts w:ascii="Times New Roman" w:hAnsi="Times New Roman" w:eastAsia="宋体"/>
                      <w:color w:val="auto"/>
                      <w:spacing w:val="7"/>
                      <w:sz w:val="21"/>
                      <w:szCs w:val="21"/>
                      <w:highlight w:val="none"/>
                    </w:rPr>
                    <w:t>应收尽收、分质收集</w:t>
                  </w:r>
                  <w:r>
                    <w:rPr>
                      <w:rFonts w:hint="eastAsia" w:cs="Times New Roman"/>
                      <w:color w:val="auto"/>
                      <w:spacing w:val="7"/>
                      <w:sz w:val="21"/>
                      <w:szCs w:val="21"/>
                      <w:highlight w:val="none"/>
                      <w:lang w:eastAsia="zh-CN"/>
                    </w:rPr>
                    <w:t>”</w:t>
                  </w:r>
                  <w:r>
                    <w:rPr>
                      <w:rFonts w:ascii="Times New Roman" w:hAnsi="Times New Roman" w:eastAsia="宋体"/>
                      <w:color w:val="auto"/>
                      <w:spacing w:val="7"/>
                      <w:sz w:val="21"/>
                      <w:szCs w:val="21"/>
                      <w:highlight w:val="none"/>
                    </w:rPr>
                    <w:t>的原则，</w:t>
                  </w:r>
                  <w:r>
                    <w:rPr>
                      <w:rFonts w:ascii="Times New Roman" w:hAnsi="Times New Roman" w:eastAsia="宋体"/>
                      <w:color w:val="auto"/>
                      <w:spacing w:val="6"/>
                      <w:sz w:val="21"/>
                      <w:szCs w:val="21"/>
                      <w:highlight w:val="none"/>
                    </w:rPr>
                    <w:t>科学设</w:t>
                  </w:r>
                  <w:r>
                    <w:rPr>
                      <w:rFonts w:ascii="Times New Roman" w:hAnsi="Times New Roman" w:eastAsia="宋体"/>
                      <w:color w:val="auto"/>
                      <w:spacing w:val="7"/>
                      <w:sz w:val="21"/>
                      <w:szCs w:val="21"/>
                      <w:highlight w:val="none"/>
                    </w:rPr>
                    <w:t>计废气收集系统，将无组织排放转变为有组织排</w:t>
                  </w:r>
                  <w:r>
                    <w:rPr>
                      <w:rFonts w:ascii="Times New Roman" w:hAnsi="Times New Roman" w:eastAsia="宋体"/>
                      <w:color w:val="auto"/>
                      <w:spacing w:val="10"/>
                      <w:sz w:val="21"/>
                      <w:szCs w:val="21"/>
                      <w:highlight w:val="none"/>
                    </w:rPr>
                    <w:t>放进行控制。采用全密闭集气罩或密闭空间的，</w:t>
                  </w:r>
                  <w:r>
                    <w:rPr>
                      <w:rFonts w:ascii="Times New Roman" w:hAnsi="Times New Roman" w:eastAsia="宋体"/>
                      <w:color w:val="auto"/>
                      <w:spacing w:val="7"/>
                      <w:sz w:val="21"/>
                      <w:szCs w:val="21"/>
                      <w:highlight w:val="none"/>
                    </w:rPr>
                    <w:t>除行业有特殊要求外，应保持微负压状态，并根</w:t>
                  </w:r>
                  <w:r>
                    <w:rPr>
                      <w:rFonts w:ascii="Times New Roman" w:hAnsi="Times New Roman" w:eastAsia="宋体"/>
                      <w:color w:val="auto"/>
                      <w:spacing w:val="9"/>
                      <w:sz w:val="21"/>
                      <w:szCs w:val="21"/>
                      <w:highlight w:val="none"/>
                    </w:rPr>
                    <w:t>据相关规范合理设置通风量。采用局部集气罩</w:t>
                  </w:r>
                  <w:r>
                    <w:rPr>
                      <w:rFonts w:ascii="Times New Roman" w:hAnsi="Times New Roman" w:eastAsia="宋体"/>
                      <w:color w:val="auto"/>
                      <w:spacing w:val="7"/>
                      <w:sz w:val="21"/>
                      <w:szCs w:val="21"/>
                      <w:highlight w:val="none"/>
                    </w:rPr>
                    <w:t>的，距集气罩开口面最远处的</w:t>
                  </w:r>
                  <w:r>
                    <w:rPr>
                      <w:rFonts w:hint="eastAsia" w:ascii="Times New Roman" w:hAnsi="Times New Roman" w:cs="Times New Roman"/>
                      <w:color w:val="auto"/>
                      <w:sz w:val="21"/>
                      <w:szCs w:val="21"/>
                      <w:highlight w:val="none"/>
                      <w:lang w:eastAsia="zh-CN"/>
                    </w:rPr>
                    <w:t>VOCS</w:t>
                  </w:r>
                  <w:r>
                    <w:rPr>
                      <w:rFonts w:ascii="Times New Roman" w:hAnsi="Times New Roman" w:eastAsia="宋体"/>
                      <w:color w:val="auto"/>
                      <w:spacing w:val="7"/>
                      <w:sz w:val="21"/>
                      <w:szCs w:val="21"/>
                      <w:highlight w:val="none"/>
                    </w:rPr>
                    <w:t>无组织排放</w:t>
                  </w:r>
                  <w:r>
                    <w:rPr>
                      <w:rFonts w:ascii="Times New Roman" w:hAnsi="Times New Roman" w:eastAsia="宋体"/>
                      <w:color w:val="auto"/>
                      <w:spacing w:val="5"/>
                      <w:sz w:val="21"/>
                      <w:szCs w:val="21"/>
                      <w:highlight w:val="none"/>
                    </w:rPr>
                    <w:t>位置，控制风速应不低于</w:t>
                  </w:r>
                  <w:r>
                    <w:rPr>
                      <w:rFonts w:ascii="Times New Roman" w:hAnsi="Times New Roman" w:eastAsia="宋体" w:cs="Times New Roman"/>
                      <w:color w:val="auto"/>
                      <w:spacing w:val="5"/>
                      <w:sz w:val="21"/>
                      <w:szCs w:val="21"/>
                      <w:highlight w:val="none"/>
                    </w:rPr>
                    <w:t>0.3</w:t>
                  </w:r>
                  <w:r>
                    <w:rPr>
                      <w:rFonts w:ascii="Times New Roman" w:hAnsi="Times New Roman" w:eastAsia="宋体"/>
                      <w:color w:val="auto"/>
                      <w:spacing w:val="5"/>
                      <w:sz w:val="21"/>
                      <w:szCs w:val="21"/>
                      <w:highlight w:val="none"/>
                    </w:rPr>
                    <w:t>米</w:t>
                  </w:r>
                  <w:r>
                    <w:rPr>
                      <w:rFonts w:ascii="Times New Roman" w:hAnsi="Times New Roman" w:eastAsia="宋体" w:cs="Times New Roman"/>
                      <w:color w:val="auto"/>
                      <w:spacing w:val="5"/>
                      <w:sz w:val="21"/>
                      <w:szCs w:val="21"/>
                      <w:highlight w:val="none"/>
                    </w:rPr>
                    <w:t>/</w:t>
                  </w:r>
                  <w:r>
                    <w:rPr>
                      <w:rFonts w:ascii="Times New Roman" w:hAnsi="Times New Roman" w:eastAsia="宋体"/>
                      <w:color w:val="auto"/>
                      <w:spacing w:val="5"/>
                      <w:sz w:val="21"/>
                      <w:szCs w:val="21"/>
                      <w:highlight w:val="none"/>
                    </w:rPr>
                    <w:t>秒，有行业要求</w:t>
                  </w:r>
                  <w:r>
                    <w:rPr>
                      <w:rFonts w:ascii="Times New Roman" w:hAnsi="Times New Roman" w:eastAsia="宋体"/>
                      <w:color w:val="auto"/>
                      <w:spacing w:val="7"/>
                      <w:sz w:val="21"/>
                      <w:szCs w:val="21"/>
                      <w:highlight w:val="none"/>
                    </w:rPr>
                    <w:t>的按相关规定执行。</w:t>
                  </w:r>
                </w:p>
              </w:tc>
              <w:tc>
                <w:tcPr>
                  <w:tcW w:w="1389" w:type="dxa"/>
                  <w:tcBorders>
                    <w:top w:val="single" w:color="auto" w:sz="4" w:space="0"/>
                    <w:left w:val="single" w:color="auto" w:sz="4" w:space="0"/>
                    <w:bottom w:val="single" w:color="auto" w:sz="4" w:space="0"/>
                    <w:right w:val="single" w:color="auto" w:sz="4" w:space="0"/>
                  </w:tcBorders>
                  <w:noWrap w:val="0"/>
                  <w:vAlign w:val="center"/>
                </w:tcPr>
                <w:p w14:paraId="42388589">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b w:val="0"/>
                      <w:bCs w:val="0"/>
                      <w:color w:val="auto"/>
                      <w:sz w:val="21"/>
                      <w:szCs w:val="21"/>
                      <w:lang w:val="en-US" w:eastAsia="zh-CN"/>
                    </w:rPr>
                    <w:t>本项目水性漆密闭存放；注塑废气经集气罩收集后，与喷漆晾干废气经过滤棉处理后，一同经二级活性炭吸附处理后通过15m排气筒（DA001）排放</w:t>
                  </w:r>
                </w:p>
              </w:tc>
              <w:tc>
                <w:tcPr>
                  <w:tcW w:w="846" w:type="dxa"/>
                  <w:tcBorders>
                    <w:top w:val="single" w:color="auto" w:sz="4" w:space="0"/>
                    <w:left w:val="single" w:color="auto" w:sz="4" w:space="0"/>
                    <w:bottom w:val="single" w:color="auto" w:sz="4" w:space="0"/>
                    <w:right w:val="single" w:color="auto" w:sz="4" w:space="0"/>
                  </w:tcBorders>
                  <w:noWrap w:val="0"/>
                  <w:vAlign w:val="center"/>
                </w:tcPr>
                <w:p w14:paraId="655FC2CA">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kern w:val="24"/>
                      <w:sz w:val="21"/>
                      <w:szCs w:val="21"/>
                      <w:highlight w:val="none"/>
                      <w:lang w:val="zh-CN"/>
                    </w:rPr>
                    <w:t>符合</w:t>
                  </w:r>
                </w:p>
              </w:tc>
            </w:tr>
          </w:tbl>
          <w:p w14:paraId="47B55B12">
            <w:pPr>
              <w:topLinePunct/>
              <w:autoSpaceDE w:val="0"/>
              <w:adjustRightInd w:val="0"/>
              <w:snapToGrid w:val="0"/>
              <w:spacing w:line="360" w:lineRule="auto"/>
              <w:ind w:firstLine="482" w:firstLineChars="200"/>
              <w:rPr>
                <w:rFonts w:hint="eastAsia" w:ascii="Times New Roman" w:hAnsi="Times New Roman" w:eastAsia="宋体" w:cs="Times New Roman"/>
                <w:b/>
                <w:bCs/>
                <w:color w:val="auto"/>
                <w:sz w:val="24"/>
                <w:lang w:val="en-US" w:eastAsia="zh-CN"/>
              </w:rPr>
            </w:pPr>
            <w:r>
              <w:rPr>
                <w:rFonts w:hint="eastAsia" w:cs="Times New Roman"/>
                <w:b/>
                <w:bCs/>
                <w:color w:val="auto"/>
                <w:sz w:val="24"/>
                <w:lang w:val="en-US" w:eastAsia="zh-CN"/>
              </w:rPr>
              <w:t>11</w:t>
            </w:r>
            <w:r>
              <w:rPr>
                <w:rFonts w:hint="eastAsia" w:ascii="Times New Roman" w:hAnsi="Times New Roman" w:eastAsia="宋体" w:cs="Times New Roman"/>
                <w:b/>
                <w:bCs/>
                <w:color w:val="auto"/>
                <w:sz w:val="24"/>
                <w:lang w:val="en-US" w:eastAsia="zh-CN"/>
              </w:rPr>
              <w:t>、与《关于印发&lt;安徽省低挥发性有机物含量原辅材料替代工作方案&gt;的通知》（</w:t>
            </w:r>
            <w:r>
              <w:rPr>
                <w:rFonts w:hint="eastAsia" w:cs="Times New Roman"/>
                <w:b/>
                <w:bCs/>
                <w:color w:val="auto"/>
                <w:sz w:val="24"/>
                <w:lang w:val="en-US" w:eastAsia="zh-CN"/>
              </w:rPr>
              <w:t>皖</w:t>
            </w:r>
            <w:r>
              <w:rPr>
                <w:rFonts w:hint="eastAsia" w:ascii="Times New Roman" w:hAnsi="Times New Roman" w:eastAsia="宋体" w:cs="Times New Roman"/>
                <w:b/>
                <w:bCs/>
                <w:color w:val="auto"/>
                <w:sz w:val="24"/>
                <w:lang w:val="en-US" w:eastAsia="zh-CN"/>
              </w:rPr>
              <w:t>环发[2024] 1号）符合性分析</w:t>
            </w:r>
          </w:p>
          <w:p w14:paraId="62A097A0">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表1-</w:t>
            </w:r>
            <w:r>
              <w:rPr>
                <w:rFonts w:hint="eastAsia" w:cs="Times New Roman"/>
                <w:b/>
                <w:color w:val="auto"/>
                <w:sz w:val="21"/>
                <w:szCs w:val="21"/>
                <w:highlight w:val="none"/>
                <w:lang w:val="en-US" w:eastAsia="zh-CN"/>
              </w:rPr>
              <w:t>13</w:t>
            </w:r>
            <w:r>
              <w:rPr>
                <w:rFonts w:hint="eastAsia" w:ascii="Times New Roman" w:hAnsi="Times New Roman" w:eastAsia="宋体" w:cs="Times New Roman"/>
                <w:b/>
                <w:color w:val="auto"/>
                <w:sz w:val="21"/>
                <w:szCs w:val="21"/>
                <w:highlight w:val="none"/>
                <w:lang w:val="en-US" w:eastAsia="zh-CN"/>
              </w:rPr>
              <w:t xml:space="preserve">  与《关于印发&lt;安徽省低挥发性有机物含量原辅材料替代工作方案&gt;的通知》（晥环发[2024] 1号）符合性分析一览表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3689"/>
              <w:gridCol w:w="2558"/>
              <w:gridCol w:w="845"/>
            </w:tblGrid>
            <w:tr w14:paraId="349A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3" w:type="dxa"/>
                  <w:tcBorders>
                    <w:top w:val="single" w:color="auto" w:sz="4" w:space="0"/>
                    <w:left w:val="single" w:color="auto" w:sz="4" w:space="0"/>
                    <w:right w:val="single" w:color="auto" w:sz="4" w:space="0"/>
                  </w:tcBorders>
                  <w:noWrap w:val="0"/>
                  <w:vAlign w:val="center"/>
                </w:tcPr>
                <w:p w14:paraId="02FF3F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3739" w:type="dxa"/>
                  <w:tcBorders>
                    <w:top w:val="single" w:color="auto" w:sz="4" w:space="0"/>
                    <w:left w:val="single" w:color="auto" w:sz="4" w:space="0"/>
                    <w:bottom w:val="single" w:color="auto" w:sz="4" w:space="0"/>
                    <w:right w:val="single" w:color="auto" w:sz="4" w:space="0"/>
                  </w:tcBorders>
                  <w:noWrap w:val="0"/>
                  <w:vAlign w:val="center"/>
                </w:tcPr>
                <w:p w14:paraId="1FEF892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方案要求</w:t>
                  </w:r>
                </w:p>
              </w:tc>
              <w:tc>
                <w:tcPr>
                  <w:tcW w:w="2590" w:type="dxa"/>
                  <w:tcBorders>
                    <w:top w:val="single" w:color="auto" w:sz="4" w:space="0"/>
                    <w:left w:val="single" w:color="auto" w:sz="4" w:space="0"/>
                    <w:right w:val="single" w:color="auto" w:sz="4" w:space="0"/>
                  </w:tcBorders>
                  <w:noWrap w:val="0"/>
                  <w:vAlign w:val="center"/>
                </w:tcPr>
                <w:p w14:paraId="0133D8A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default" w:ascii="Times New Roman" w:hAnsi="Times New Roman" w:eastAsia="宋体" w:cs="Times New Roman"/>
                      <w:b/>
                      <w:bCs/>
                      <w:color w:val="auto"/>
                      <w:sz w:val="21"/>
                      <w:szCs w:val="21"/>
                      <w:highlight w:val="none"/>
                      <w:vertAlign w:val="baseline"/>
                      <w:lang w:val="en-US" w:eastAsia="zh-CN"/>
                    </w:rPr>
                    <w:t>本项目情况</w:t>
                  </w:r>
                </w:p>
              </w:tc>
              <w:tc>
                <w:tcPr>
                  <w:tcW w:w="854" w:type="dxa"/>
                  <w:tcBorders>
                    <w:top w:val="single" w:color="auto" w:sz="4" w:space="0"/>
                    <w:left w:val="single" w:color="auto" w:sz="4" w:space="0"/>
                    <w:right w:val="single" w:color="auto" w:sz="4" w:space="0"/>
                  </w:tcBorders>
                  <w:noWrap w:val="0"/>
                  <w:vAlign w:val="center"/>
                </w:tcPr>
                <w:p w14:paraId="4F34199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s="Times New Roman"/>
                      <w:b/>
                      <w:bCs/>
                      <w:color w:val="auto"/>
                      <w:sz w:val="21"/>
                      <w:szCs w:val="21"/>
                      <w:highlight w:val="none"/>
                      <w:shd w:val="clear" w:color="auto" w:fill="auto"/>
                      <w:vertAlign w:val="baseline"/>
                      <w:lang w:val="en-US" w:eastAsia="zh-CN"/>
                    </w:rPr>
                    <w:t>符合性</w:t>
                  </w:r>
                </w:p>
              </w:tc>
            </w:tr>
            <w:tr w14:paraId="72FB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3" w:type="dxa"/>
                  <w:tcBorders>
                    <w:top w:val="single" w:color="auto" w:sz="4" w:space="0"/>
                    <w:left w:val="single" w:color="auto" w:sz="4" w:space="0"/>
                    <w:bottom w:val="single" w:color="auto" w:sz="4" w:space="0"/>
                    <w:right w:val="single" w:color="auto" w:sz="4" w:space="0"/>
                  </w:tcBorders>
                  <w:noWrap w:val="0"/>
                  <w:vAlign w:val="center"/>
                </w:tcPr>
                <w:p w14:paraId="651BDEE6">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w:t>
                  </w:r>
                </w:p>
              </w:tc>
              <w:tc>
                <w:tcPr>
                  <w:tcW w:w="3739" w:type="dxa"/>
                  <w:tcBorders>
                    <w:top w:val="single" w:color="auto" w:sz="4" w:space="0"/>
                    <w:left w:val="single" w:color="auto" w:sz="4" w:space="0"/>
                    <w:bottom w:val="single" w:color="auto" w:sz="4" w:space="0"/>
                    <w:right w:val="single" w:color="auto" w:sz="4" w:space="0"/>
                  </w:tcBorders>
                  <w:noWrap w:val="0"/>
                  <w:vAlign w:val="center"/>
                </w:tcPr>
                <w:p w14:paraId="4CBB0B85">
                  <w:pPr>
                    <w:pStyle w:val="74"/>
                    <w:keepNext w:val="0"/>
                    <w:keepLines w:val="0"/>
                    <w:pageBreakBefore w:val="0"/>
                    <w:kinsoku/>
                    <w:wordWrap/>
                    <w:overflowPunct/>
                    <w:topLinePunct w:val="0"/>
                    <w:bidi w:val="0"/>
                    <w:adjustRightInd/>
                    <w:spacing w:line="240" w:lineRule="auto"/>
                    <w:ind w:right="0" w:firstLine="0" w:firstLine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加强替代管理。工业涂装、包装印刷、竹木加工、家具制造、汽车修理与维护、鞋和皮革制品制造等重点行业企业，要按照《低挥发性有机物含量原辅材料源头替代技术指引（试行）》要求，开展低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原辅材料和生产方式替代，优化管控台账及档案管理，持续提升环境管理水平。</w:t>
                  </w:r>
                </w:p>
              </w:tc>
              <w:tc>
                <w:tcPr>
                  <w:tcW w:w="2590" w:type="dxa"/>
                  <w:tcBorders>
                    <w:top w:val="single" w:color="auto" w:sz="4" w:space="0"/>
                    <w:left w:val="single" w:color="auto" w:sz="4" w:space="0"/>
                    <w:bottom w:val="single" w:color="auto" w:sz="4" w:space="0"/>
                    <w:right w:val="single" w:color="auto" w:sz="4" w:space="0"/>
                  </w:tcBorders>
                  <w:noWrap w:val="0"/>
                  <w:vAlign w:val="center"/>
                </w:tcPr>
                <w:p w14:paraId="575DECF6">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hint="eastAsia"/>
                      <w:b w:val="0"/>
                      <w:bCs w:val="0"/>
                      <w:color w:val="auto"/>
                      <w:sz w:val="21"/>
                      <w:szCs w:val="21"/>
                      <w:lang w:val="en-US" w:eastAsia="zh-CN" w:bidi="ar-SA"/>
                    </w:rPr>
                    <w:t>本项目</w:t>
                  </w:r>
                  <w:r>
                    <w:rPr>
                      <w:rFonts w:hint="eastAsia" w:ascii="Times New Roman" w:hAnsi="Times New Roman" w:eastAsia="宋体" w:cs="Times New Roman"/>
                      <w:color w:val="auto"/>
                      <w:sz w:val="21"/>
                      <w:szCs w:val="21"/>
                      <w:highlight w:val="none"/>
                      <w:lang w:val="en-US" w:eastAsia="zh-CN"/>
                    </w:rPr>
                    <w:t>属于C2927日用塑料制品制造，</w:t>
                  </w:r>
                  <w:r>
                    <w:rPr>
                      <w:rFonts w:hint="eastAsia" w:ascii="Times New Roman" w:hAnsi="Times New Roman" w:eastAsia="宋体" w:cs="Times New Roman"/>
                      <w:color w:val="auto"/>
                      <w:sz w:val="21"/>
                      <w:szCs w:val="21"/>
                      <w:highlight w:val="none"/>
                    </w:rPr>
                    <w:t>建设单位按照《低</w:t>
                  </w:r>
                  <w:r>
                    <w:rPr>
                      <w:rFonts w:hint="eastAsia" w:ascii="Times New Roman" w:hAnsi="Times New Roman" w:eastAsia="宋体"/>
                      <w:color w:val="auto"/>
                      <w:sz w:val="21"/>
                      <w:szCs w:val="21"/>
                      <w:highlight w:val="none"/>
                    </w:rPr>
                    <w:t>挥发性有机物含量原辅材料源头替代技术指引（试行）》要求，开展低</w:t>
                  </w:r>
                  <w:r>
                    <w:rPr>
                      <w:rFonts w:hint="eastAsia"/>
                      <w:color w:val="auto"/>
                      <w:sz w:val="21"/>
                      <w:szCs w:val="21"/>
                      <w:highlight w:val="none"/>
                      <w:lang w:eastAsia="zh-CN"/>
                    </w:rPr>
                    <w:t>VOCS</w:t>
                  </w:r>
                  <w:r>
                    <w:rPr>
                      <w:rFonts w:hint="eastAsia" w:ascii="Times New Roman" w:hAnsi="Times New Roman" w:eastAsia="宋体"/>
                      <w:color w:val="auto"/>
                      <w:sz w:val="21"/>
                      <w:szCs w:val="21"/>
                      <w:highlight w:val="none"/>
                    </w:rPr>
                    <w:t>原辅材料和生产方式替代，优化管控台账及档案管理，持续提升环境管理水平。</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63BEEC76">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符合</w:t>
                  </w:r>
                </w:p>
              </w:tc>
            </w:tr>
            <w:tr w14:paraId="2D56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3" w:type="dxa"/>
                  <w:tcBorders>
                    <w:top w:val="single" w:color="auto" w:sz="4" w:space="0"/>
                    <w:left w:val="single" w:color="auto" w:sz="4" w:space="0"/>
                    <w:bottom w:val="single" w:color="auto" w:sz="4" w:space="0"/>
                    <w:right w:val="single" w:color="auto" w:sz="4" w:space="0"/>
                  </w:tcBorders>
                  <w:noWrap w:val="0"/>
                  <w:vAlign w:val="center"/>
                </w:tcPr>
                <w:p w14:paraId="1ADB3C8C">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2</w:t>
                  </w:r>
                </w:p>
              </w:tc>
              <w:tc>
                <w:tcPr>
                  <w:tcW w:w="3739" w:type="dxa"/>
                  <w:tcBorders>
                    <w:top w:val="single" w:color="auto" w:sz="4" w:space="0"/>
                    <w:left w:val="single" w:color="auto" w:sz="4" w:space="0"/>
                    <w:bottom w:val="single" w:color="auto" w:sz="4" w:space="0"/>
                    <w:right w:val="single" w:color="auto" w:sz="4" w:space="0"/>
                  </w:tcBorders>
                  <w:noWrap w:val="0"/>
                  <w:vAlign w:val="center"/>
                </w:tcPr>
                <w:p w14:paraId="7B2874EE">
                  <w:pPr>
                    <w:pStyle w:val="74"/>
                    <w:keepNext w:val="0"/>
                    <w:keepLines w:val="0"/>
                    <w:pageBreakBefore w:val="0"/>
                    <w:kinsoku/>
                    <w:wordWrap/>
                    <w:overflowPunct/>
                    <w:topLinePunct w:val="0"/>
                    <w:bidi w:val="0"/>
                    <w:adjustRightInd/>
                    <w:spacing w:line="240" w:lineRule="auto"/>
                    <w:ind w:right="0" w:firstLine="0" w:firstLineChars="0"/>
                    <w:jc w:val="both"/>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严格项目准入。根据《低挥发性有机化合物含量涂料产品技术要求》（GB/T 38597-2020）要求，进一步完善</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排放管控地方标准建设，细化相关行业涂料种类及各项污染物指标限值，编制实施固定源挥发性有机物综合排放标准和制鞋、汽修、木材等行业大气污染物排放标准。禁止建设生产和使用高</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含量的溶剂型涂料、油墨、胶黏剂等项目，全省工业涂装、包装印刷等重点行业和涂料、油墨等生产企业的新（改、扩）建项目需满足低（无）</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 xml:space="preserve"> 含量限值要求。省内市场上流通的水性涂料等低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含量涂料产品，执行《低挥发性有机化合物含量涂料产品技术要求》，应在包装标志或产品说明上标明符合标准的分类、产品类别及产品类型（或施涂方式）</w:t>
                  </w:r>
                  <w:r>
                    <w:rPr>
                      <w:rFonts w:ascii="Times New Roman" w:hAnsi="Times New Roman" w:eastAsia="宋体"/>
                      <w:color w:val="auto"/>
                      <w:spacing w:val="7"/>
                      <w:sz w:val="21"/>
                      <w:szCs w:val="21"/>
                      <w:highlight w:val="none"/>
                    </w:rPr>
                    <w:t>。</w:t>
                  </w:r>
                </w:p>
              </w:tc>
              <w:tc>
                <w:tcPr>
                  <w:tcW w:w="2590" w:type="dxa"/>
                  <w:tcBorders>
                    <w:top w:val="single" w:color="auto" w:sz="4" w:space="0"/>
                    <w:left w:val="single" w:color="auto" w:sz="4" w:space="0"/>
                    <w:bottom w:val="single" w:color="auto" w:sz="4" w:space="0"/>
                    <w:right w:val="single" w:color="auto" w:sz="4" w:space="0"/>
                  </w:tcBorders>
                  <w:noWrap w:val="0"/>
                  <w:vAlign w:val="center"/>
                </w:tcPr>
                <w:p w14:paraId="12EA3ED4">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b w:val="0"/>
                      <w:bCs w:val="0"/>
                      <w:color w:val="auto"/>
                      <w:sz w:val="21"/>
                      <w:szCs w:val="21"/>
                      <w:lang w:val="en-US" w:eastAsia="zh-CN" w:bidi="ar-SA"/>
                    </w:rPr>
                    <w:t>本项目</w:t>
                  </w:r>
                  <w:r>
                    <w:rPr>
                      <w:rFonts w:hint="eastAsia"/>
                      <w:b w:val="0"/>
                      <w:bCs w:val="0"/>
                      <w:color w:val="auto"/>
                      <w:sz w:val="21"/>
                      <w:szCs w:val="24"/>
                      <w:lang w:val="en-US" w:eastAsia="zh-CN" w:bidi="ar-SA"/>
                    </w:rPr>
                    <w:t>属于C2927日用塑料制品制造，</w:t>
                  </w:r>
                  <w:r>
                    <w:rPr>
                      <w:rFonts w:hint="eastAsia" w:ascii="Times New Roman" w:hAnsi="Times New Roman" w:eastAsia="宋体"/>
                      <w:color w:val="auto"/>
                      <w:sz w:val="21"/>
                      <w:szCs w:val="21"/>
                      <w:highlight w:val="none"/>
                    </w:rPr>
                    <w:t>项目</w:t>
                  </w:r>
                  <w:r>
                    <w:rPr>
                      <w:rFonts w:hint="eastAsia"/>
                      <w:b w:val="0"/>
                      <w:bCs w:val="0"/>
                      <w:color w:val="auto"/>
                      <w:sz w:val="21"/>
                      <w:szCs w:val="24"/>
                      <w:lang w:val="en-US" w:eastAsia="zh-CN" w:bidi="ar-SA"/>
                    </w:rPr>
                    <w:t>生产过程中使用</w:t>
                  </w:r>
                  <w:r>
                    <w:rPr>
                      <w:rFonts w:hint="default" w:ascii="Times New Roman" w:hAnsi="Times New Roman" w:eastAsia="宋体" w:cs="Times New Roman"/>
                      <w:color w:val="auto"/>
                      <w:sz w:val="21"/>
                      <w:szCs w:val="21"/>
                    </w:rPr>
                    <w:t>水性</w:t>
                  </w:r>
                  <w:r>
                    <w:rPr>
                      <w:rFonts w:hint="eastAsia" w:cs="Times New Roman"/>
                      <w:color w:val="auto"/>
                      <w:sz w:val="21"/>
                      <w:szCs w:val="21"/>
                      <w:lang w:val="en-US" w:eastAsia="zh-CN"/>
                    </w:rPr>
                    <w:t>漆</w:t>
                  </w:r>
                  <w:r>
                    <w:rPr>
                      <w:rFonts w:hint="default" w:ascii="Times New Roman" w:hAnsi="Times New Roman" w:eastAsia="宋体" w:cs="Times New Roman"/>
                      <w:color w:val="auto"/>
                      <w:sz w:val="21"/>
                      <w:szCs w:val="21"/>
                    </w:rPr>
                    <w:t>进行</w:t>
                  </w:r>
                  <w:r>
                    <w:rPr>
                      <w:rFonts w:hint="eastAsia" w:cs="Times New Roman"/>
                      <w:color w:val="auto"/>
                      <w:sz w:val="21"/>
                      <w:szCs w:val="21"/>
                      <w:lang w:val="en-US" w:eastAsia="zh-CN"/>
                    </w:rPr>
                    <w:t>喷漆，能够满足《低挥发性有机化合物含量涂料产品技术要求》（GB/T38597-2020）中相关VOC含量限值要求，不属于使用高VOCS含量的溶剂型涂料项目。本项目使用的</w:t>
                  </w:r>
                  <w:r>
                    <w:rPr>
                      <w:rFonts w:hint="default" w:ascii="Times New Roman" w:hAnsi="Times New Roman" w:eastAsia="宋体" w:cs="Times New Roman"/>
                      <w:color w:val="auto"/>
                      <w:sz w:val="21"/>
                      <w:szCs w:val="21"/>
                    </w:rPr>
                    <w:t>水性</w:t>
                  </w:r>
                  <w:r>
                    <w:rPr>
                      <w:rFonts w:hint="eastAsia" w:cs="Times New Roman"/>
                      <w:color w:val="auto"/>
                      <w:sz w:val="21"/>
                      <w:szCs w:val="21"/>
                      <w:lang w:val="en-US" w:eastAsia="zh-CN"/>
                    </w:rPr>
                    <w:t>漆，执行《低挥发性有机化合物含量涂料产品技术要求》，在包装标志或产品说明上标明符合标准的分类、产品类别及产品类型（或施涂方</w:t>
                  </w:r>
                  <w:r>
                    <w:rPr>
                      <w:rFonts w:hint="default" w:ascii="Times New Roman" w:hAnsi="Times New Roman" w:eastAsia="宋体" w:cs="Times New Roman"/>
                      <w:color w:val="auto"/>
                      <w:kern w:val="2"/>
                      <w:sz w:val="21"/>
                      <w:szCs w:val="21"/>
                      <w:highlight w:val="none"/>
                      <w:lang w:eastAsia="zh-CN"/>
                    </w:rPr>
                    <w:t>式）</w:t>
                  </w:r>
                  <w:r>
                    <w:rPr>
                      <w:rFonts w:hint="eastAsia" w:ascii="Times New Roman" w:hAnsi="Times New Roman" w:eastAsia="宋体"/>
                      <w:color w:val="auto"/>
                      <w:sz w:val="21"/>
                      <w:szCs w:val="21"/>
                      <w:highlight w:val="none"/>
                      <w:lang w:val="en-US" w:eastAsia="zh-CN"/>
                    </w:rPr>
                    <w:t>。</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375ED26D">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kern w:val="24"/>
                      <w:sz w:val="21"/>
                      <w:szCs w:val="21"/>
                      <w:highlight w:val="none"/>
                      <w:lang w:val="zh-CN"/>
                    </w:rPr>
                    <w:t>符合</w:t>
                  </w:r>
                </w:p>
              </w:tc>
            </w:tr>
            <w:tr w14:paraId="64493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3" w:type="dxa"/>
                  <w:tcBorders>
                    <w:top w:val="single" w:color="auto" w:sz="4" w:space="0"/>
                    <w:left w:val="single" w:color="auto" w:sz="4" w:space="0"/>
                    <w:bottom w:val="single" w:color="auto" w:sz="4" w:space="0"/>
                    <w:right w:val="single" w:color="auto" w:sz="4" w:space="0"/>
                  </w:tcBorders>
                  <w:noWrap w:val="0"/>
                  <w:vAlign w:val="center"/>
                </w:tcPr>
                <w:p w14:paraId="6FA5AE2D">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3</w:t>
                  </w:r>
                </w:p>
              </w:tc>
              <w:tc>
                <w:tcPr>
                  <w:tcW w:w="3739" w:type="dxa"/>
                  <w:tcBorders>
                    <w:top w:val="single" w:color="auto" w:sz="4" w:space="0"/>
                    <w:left w:val="single" w:color="auto" w:sz="4" w:space="0"/>
                    <w:bottom w:val="single" w:color="auto" w:sz="4" w:space="0"/>
                    <w:right w:val="single" w:color="auto" w:sz="4" w:space="0"/>
                  </w:tcBorders>
                  <w:noWrap w:val="0"/>
                  <w:vAlign w:val="center"/>
                </w:tcPr>
                <w:p w14:paraId="1A1A63EF">
                  <w:pPr>
                    <w:pStyle w:val="74"/>
                    <w:keepNext w:val="0"/>
                    <w:keepLines w:val="0"/>
                    <w:pageBreakBefore w:val="0"/>
                    <w:kinsoku/>
                    <w:wordWrap/>
                    <w:overflowPunct/>
                    <w:topLinePunct w:val="0"/>
                    <w:bidi w:val="0"/>
                    <w:adjustRightInd/>
                    <w:spacing w:line="240" w:lineRule="auto"/>
                    <w:ind w:right="0" w:firstLine="0" w:firstLineChars="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eastAsia="zh-CN"/>
                    </w:rPr>
                    <w:t>强化示范带动。结合产业特点，实施工业涂装、包装印刷重点行业低</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 xml:space="preserve"> 含量原辅材料源头替代企业豁免末端治理设施试点，完善建立含</w:t>
                  </w:r>
                  <w:r>
                    <w:rPr>
                      <w:rFonts w:hint="eastAsia" w:ascii="Times New Roman" w:hAnsi="Times New Roman" w:cs="Times New Roman"/>
                      <w:color w:val="auto"/>
                      <w:kern w:val="2"/>
                      <w:sz w:val="21"/>
                      <w:szCs w:val="21"/>
                      <w:highlight w:val="none"/>
                      <w:lang w:eastAsia="zh-CN"/>
                    </w:rPr>
                    <w:t>VOCS</w:t>
                  </w:r>
                  <w:r>
                    <w:rPr>
                      <w:rFonts w:hint="default" w:ascii="Times New Roman" w:hAnsi="Times New Roman" w:eastAsia="宋体" w:cs="Times New Roman"/>
                      <w:color w:val="auto"/>
                      <w:kern w:val="2"/>
                      <w:sz w:val="21"/>
                      <w:szCs w:val="21"/>
                      <w:highlight w:val="none"/>
                      <w:lang w:eastAsia="zh-CN"/>
                    </w:rPr>
                    <w:t xml:space="preserve"> 物料生产端</w:t>
                  </w:r>
                  <w:r>
                    <w:rPr>
                      <w:rFonts w:hint="eastAsia" w:ascii="Times New Roman" w:hAnsi="Times New Roman" w:eastAsia="宋体" w:cs="Times New Roman"/>
                      <w:color w:val="auto"/>
                      <w:kern w:val="2"/>
                      <w:sz w:val="21"/>
                      <w:szCs w:val="21"/>
                      <w:highlight w:val="none"/>
                      <w:lang w:val="en-US" w:eastAsia="zh-CN"/>
                    </w:rPr>
                    <w:t>和使用端清洁原辅材料替代正面清单。</w:t>
                  </w:r>
                </w:p>
              </w:tc>
              <w:tc>
                <w:tcPr>
                  <w:tcW w:w="2590" w:type="dxa"/>
                  <w:tcBorders>
                    <w:top w:val="single" w:color="auto" w:sz="4" w:space="0"/>
                    <w:left w:val="single" w:color="auto" w:sz="4" w:space="0"/>
                    <w:bottom w:val="single" w:color="auto" w:sz="4" w:space="0"/>
                    <w:right w:val="single" w:color="auto" w:sz="4" w:space="0"/>
                  </w:tcBorders>
                  <w:noWrap w:val="0"/>
                  <w:vAlign w:val="center"/>
                </w:tcPr>
                <w:p w14:paraId="02E7AC4D">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eastAsia" w:ascii="Times New Roman" w:hAnsi="Times New Roman" w:eastAsia="宋体"/>
                      <w:color w:val="auto"/>
                      <w:sz w:val="21"/>
                      <w:szCs w:val="21"/>
                      <w:highlight w:val="none"/>
                      <w:lang w:val="en-US" w:eastAsia="zh-CN"/>
                    </w:rPr>
                  </w:pPr>
                  <w:r>
                    <w:rPr>
                      <w:rFonts w:hint="eastAsia"/>
                      <w:b w:val="0"/>
                      <w:bCs w:val="0"/>
                      <w:color w:val="auto"/>
                      <w:sz w:val="21"/>
                      <w:szCs w:val="21"/>
                      <w:lang w:val="en-US" w:eastAsia="zh-CN" w:bidi="ar-SA"/>
                    </w:rPr>
                    <w:t>本项目</w:t>
                  </w:r>
                  <w:r>
                    <w:rPr>
                      <w:rFonts w:hint="eastAsia"/>
                      <w:b w:val="0"/>
                      <w:bCs w:val="0"/>
                      <w:color w:val="auto"/>
                      <w:sz w:val="21"/>
                      <w:szCs w:val="24"/>
                      <w:lang w:val="en-US" w:eastAsia="zh-CN" w:bidi="ar-SA"/>
                    </w:rPr>
                    <w:t>属于C2927日用塑料制品制造，项目生产过程中使用的</w:t>
                  </w:r>
                  <w:r>
                    <w:rPr>
                      <w:rFonts w:hint="default" w:ascii="Times New Roman" w:hAnsi="Times New Roman" w:eastAsia="宋体" w:cs="Times New Roman"/>
                      <w:color w:val="auto"/>
                      <w:sz w:val="21"/>
                      <w:szCs w:val="21"/>
                    </w:rPr>
                    <w:t>水性</w:t>
                  </w:r>
                  <w:r>
                    <w:rPr>
                      <w:rFonts w:hint="eastAsia" w:cs="Times New Roman"/>
                      <w:color w:val="auto"/>
                      <w:sz w:val="21"/>
                      <w:szCs w:val="21"/>
                      <w:lang w:val="en-US" w:eastAsia="zh-CN"/>
                    </w:rPr>
                    <w:t>漆</w:t>
                  </w:r>
                  <w:r>
                    <w:rPr>
                      <w:rFonts w:hint="eastAsia"/>
                      <w:b w:val="0"/>
                      <w:bCs w:val="0"/>
                      <w:color w:val="auto"/>
                      <w:sz w:val="21"/>
                      <w:szCs w:val="24"/>
                      <w:lang w:val="en-US" w:eastAsia="zh-CN" w:bidi="ar-SA"/>
                    </w:rPr>
                    <w:t>中VOCS含量满足《低挥发性有机化合物含量涂料产品技术要求》（GB/T38597-2020）中相关VOC含量限值要求。</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17445683">
                  <w:pPr>
                    <w:keepNext w:val="0"/>
                    <w:keepLines w:val="0"/>
                    <w:pageBreakBefore w:val="0"/>
                    <w:kinsoku/>
                    <w:wordWrap/>
                    <w:overflowPunct/>
                    <w:topLinePunct w:val="0"/>
                    <w:bidi w:val="0"/>
                    <w:adjustRightInd/>
                    <w:snapToGrid w:val="0"/>
                    <w:spacing w:line="240" w:lineRule="auto"/>
                    <w:ind w:right="0" w:firstLine="0" w:firstLineChars="0"/>
                    <w:jc w:val="center"/>
                    <w:textAlignment w:val="auto"/>
                    <w:rPr>
                      <w:rFonts w:hint="default" w:ascii="Times New Roman" w:hAnsi="Times New Roman" w:eastAsia="宋体"/>
                      <w:color w:val="auto"/>
                      <w:kern w:val="24"/>
                      <w:sz w:val="21"/>
                      <w:szCs w:val="21"/>
                      <w:highlight w:val="none"/>
                      <w:lang w:val="en-US" w:eastAsia="zh-CN"/>
                    </w:rPr>
                  </w:pPr>
                  <w:r>
                    <w:rPr>
                      <w:rFonts w:hint="eastAsia" w:ascii="Times New Roman" w:hAnsi="Times New Roman" w:eastAsia="宋体"/>
                      <w:color w:val="auto"/>
                      <w:kern w:val="24"/>
                      <w:sz w:val="21"/>
                      <w:szCs w:val="21"/>
                      <w:highlight w:val="none"/>
                      <w:lang w:val="en-US" w:eastAsia="zh-CN"/>
                    </w:rPr>
                    <w:t>符合</w:t>
                  </w:r>
                </w:p>
              </w:tc>
            </w:tr>
          </w:tbl>
          <w:p w14:paraId="345E4E3B">
            <w:pPr>
              <w:pStyle w:val="7"/>
              <w:rPr>
                <w:rFonts w:hint="default" w:ascii="Times New Roman" w:hAnsi="Times New Roman" w:cs="Times New Roman"/>
                <w:color w:val="auto"/>
                <w:lang w:eastAsia="zh-CN"/>
              </w:rPr>
            </w:pPr>
          </w:p>
          <w:p w14:paraId="47DDAA44">
            <w:pPr>
              <w:ind w:firstLine="480" w:firstLineChars="200"/>
              <w:rPr>
                <w:rFonts w:hint="default" w:ascii="Times New Roman" w:hAnsi="Times New Roman" w:eastAsia="宋体" w:cs="Times New Roman"/>
                <w:color w:val="auto"/>
                <w:kern w:val="2"/>
                <w:sz w:val="24"/>
                <w:szCs w:val="24"/>
                <w:lang w:val="en-US" w:eastAsia="zh-CN" w:bidi="ar-SA"/>
              </w:rPr>
            </w:pPr>
          </w:p>
          <w:p w14:paraId="65A131D9">
            <w:pPr>
              <w:pStyle w:val="2"/>
              <w:rPr>
                <w:rFonts w:hint="default" w:ascii="Times New Roman" w:hAnsi="Times New Roman" w:eastAsia="宋体" w:cs="Times New Roman"/>
                <w:color w:val="auto"/>
                <w:kern w:val="2"/>
                <w:sz w:val="24"/>
                <w:szCs w:val="24"/>
                <w:lang w:val="en-US" w:eastAsia="zh-CN" w:bidi="ar-SA"/>
              </w:rPr>
            </w:pPr>
          </w:p>
          <w:p w14:paraId="5208DC12">
            <w:pPr>
              <w:pStyle w:val="2"/>
              <w:rPr>
                <w:rFonts w:hint="default" w:ascii="Times New Roman" w:hAnsi="Times New Roman" w:eastAsia="宋体" w:cs="Times New Roman"/>
                <w:color w:val="auto"/>
                <w:kern w:val="2"/>
                <w:sz w:val="24"/>
                <w:szCs w:val="24"/>
                <w:lang w:val="en-US" w:eastAsia="zh-CN" w:bidi="ar-SA"/>
              </w:rPr>
            </w:pPr>
          </w:p>
          <w:p w14:paraId="0DA16D80">
            <w:pPr>
              <w:pStyle w:val="2"/>
              <w:rPr>
                <w:rFonts w:hint="default" w:ascii="Times New Roman" w:hAnsi="Times New Roman" w:eastAsia="宋体" w:cs="Times New Roman"/>
                <w:color w:val="auto"/>
                <w:kern w:val="2"/>
                <w:sz w:val="24"/>
                <w:szCs w:val="24"/>
                <w:lang w:val="en-US" w:eastAsia="zh-CN" w:bidi="ar-SA"/>
              </w:rPr>
            </w:pPr>
          </w:p>
          <w:p w14:paraId="50E1E1F0">
            <w:pPr>
              <w:pStyle w:val="2"/>
              <w:rPr>
                <w:rFonts w:hint="default" w:ascii="Times New Roman" w:hAnsi="Times New Roman" w:eastAsia="宋体" w:cs="Times New Roman"/>
                <w:color w:val="auto"/>
                <w:kern w:val="2"/>
                <w:sz w:val="24"/>
                <w:szCs w:val="24"/>
                <w:lang w:val="en-US" w:eastAsia="zh-CN" w:bidi="ar-SA"/>
              </w:rPr>
            </w:pPr>
          </w:p>
          <w:p w14:paraId="37A79E0E">
            <w:pPr>
              <w:pStyle w:val="2"/>
              <w:rPr>
                <w:rFonts w:hint="default" w:ascii="Times New Roman" w:hAnsi="Times New Roman" w:eastAsia="宋体" w:cs="Times New Roman"/>
                <w:color w:val="auto"/>
                <w:kern w:val="2"/>
                <w:sz w:val="24"/>
                <w:szCs w:val="24"/>
                <w:lang w:val="en-US" w:eastAsia="zh-CN" w:bidi="ar-SA"/>
              </w:rPr>
            </w:pPr>
          </w:p>
        </w:tc>
      </w:tr>
    </w:tbl>
    <w:p w14:paraId="38F651DA">
      <w:pPr>
        <w:rPr>
          <w:color w:val="auto"/>
        </w:rPr>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71201BA6">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rPr>
      </w:pPr>
      <w:bookmarkStart w:id="13" w:name="_Toc5253"/>
      <w:bookmarkStart w:id="14" w:name="_Toc3263"/>
      <w:bookmarkStart w:id="15" w:name="_Toc12476"/>
      <w:r>
        <w:rPr>
          <w:rFonts w:hint="default" w:ascii="Times New Roman" w:hAnsi="Times New Roman" w:eastAsia="黑体" w:cs="Times New Roman"/>
          <w:color w:val="auto"/>
          <w:sz w:val="30"/>
          <w:szCs w:val="30"/>
        </w:rPr>
        <w:t>建设项目工程分析</w:t>
      </w:r>
      <w:bookmarkEnd w:id="13"/>
      <w:bookmarkEnd w:id="14"/>
      <w:bookmarkEnd w:id="15"/>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8048"/>
      </w:tblGrid>
      <w:tr w14:paraId="7D96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8" w:hRule="atLeast"/>
        </w:trPr>
        <w:tc>
          <w:tcPr>
            <w:tcW w:w="474" w:type="dxa"/>
            <w:shd w:val="clear" w:color="auto" w:fill="auto"/>
            <w:vAlign w:val="center"/>
          </w:tcPr>
          <w:p w14:paraId="03E96791">
            <w:pPr>
              <w:adjustRightInd w:val="0"/>
              <w:snapToGrid w:val="0"/>
              <w:spacing w:line="240" w:lineRule="auto"/>
              <w:ind w:firstLine="0" w:firstLineChars="0"/>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color w:val="auto"/>
              </w:rPr>
              <w:t>建设内容</w:t>
            </w:r>
          </w:p>
        </w:tc>
        <w:tc>
          <w:tcPr>
            <w:tcW w:w="8048" w:type="dxa"/>
            <w:shd w:val="clear" w:color="auto" w:fill="auto"/>
            <w:vAlign w:val="top"/>
          </w:tcPr>
          <w:p w14:paraId="4ED7762B">
            <w:pPr>
              <w:adjustRightInd w:val="0"/>
              <w:snapToGrid w:val="0"/>
              <w:spacing w:line="360" w:lineRule="auto"/>
              <w:ind w:left="0" w:leftChars="0" w:firstLine="480" w:firstLineChars="200"/>
              <w:rPr>
                <w:rFonts w:ascii="Times New Roman" w:hAnsi="Times New Roman"/>
                <w:b w:val="0"/>
                <w:bCs w:val="0"/>
                <w:color w:val="auto"/>
                <w:sz w:val="24"/>
              </w:rPr>
            </w:pPr>
            <w:r>
              <w:rPr>
                <w:rFonts w:ascii="Times New Roman" w:hAnsi="Times New Roman"/>
                <w:b w:val="0"/>
                <w:bCs w:val="0"/>
                <w:color w:val="auto"/>
                <w:sz w:val="24"/>
              </w:rPr>
              <w:t>1、项目由来</w:t>
            </w:r>
          </w:p>
          <w:p w14:paraId="7046F970">
            <w:pPr>
              <w:spacing w:line="360" w:lineRule="auto"/>
              <w:ind w:firstLine="480" w:firstLineChars="200"/>
              <w:rPr>
                <w:rFonts w:hint="eastAsia" w:eastAsia="宋体" w:cs="Times New Roman"/>
                <w:color w:val="auto"/>
                <w:lang w:val="en-US" w:eastAsia="zh-CN"/>
              </w:rPr>
            </w:pPr>
            <w:r>
              <w:rPr>
                <w:rFonts w:hint="eastAsia" w:cs="Times New Roman"/>
                <w:color w:val="auto"/>
                <w:lang w:val="en-US" w:eastAsia="zh-CN"/>
              </w:rPr>
              <w:t>蚌埠壹度家居用品有限责任公司位于安徽省蚌埠市龙子湖区李楼乡胜利东路199号（厂区东片），厂房面积约6000m</w:t>
            </w:r>
            <w:r>
              <w:rPr>
                <w:rFonts w:hint="eastAsia" w:cs="Times New Roman"/>
                <w:color w:val="auto"/>
                <w:vertAlign w:val="superscript"/>
                <w:lang w:val="en-US" w:eastAsia="zh-CN"/>
              </w:rPr>
              <w:t>2</w:t>
            </w:r>
            <w:r>
              <w:rPr>
                <w:rFonts w:hint="eastAsia" w:cs="Times New Roman"/>
                <w:color w:val="auto"/>
                <w:lang w:val="en-US" w:eastAsia="zh-CN"/>
              </w:rPr>
              <w:t>。现根据市场需求及为园区周边企业做配套，</w:t>
            </w:r>
            <w:r>
              <w:rPr>
                <w:rFonts w:hint="eastAsia" w:eastAsia="宋体" w:cs="Times New Roman"/>
                <w:color w:val="auto"/>
                <w:highlight w:val="none"/>
                <w:lang w:val="en-US" w:eastAsia="zh-CN"/>
              </w:rPr>
              <w:t>租赁</w:t>
            </w:r>
            <w:r>
              <w:rPr>
                <w:rFonts w:hint="eastAsia" w:cs="Times New Roman"/>
                <w:color w:val="auto"/>
                <w:highlight w:val="none"/>
                <w:lang w:val="en-US" w:eastAsia="zh-CN"/>
              </w:rPr>
              <w:t>蚌埠金大地保温器皿有限公司新建</w:t>
            </w:r>
            <w:r>
              <w:rPr>
                <w:rFonts w:hint="eastAsia" w:cs="Times New Roman"/>
                <w:color w:val="auto"/>
                <w:lang w:val="en-US" w:eastAsia="zh-CN"/>
              </w:rPr>
              <w:t>年产300万只保温容器外壳项目</w:t>
            </w:r>
            <w:r>
              <w:rPr>
                <w:rFonts w:hint="eastAsia" w:eastAsia="宋体" w:cs="Times New Roman"/>
                <w:color w:val="auto"/>
                <w:lang w:val="en-US" w:eastAsia="zh-CN"/>
              </w:rPr>
              <w:t>，项目于202</w:t>
            </w:r>
            <w:r>
              <w:rPr>
                <w:rFonts w:hint="eastAsia" w:cs="Times New Roman"/>
                <w:color w:val="auto"/>
                <w:lang w:val="en-US" w:eastAsia="zh-CN"/>
              </w:rPr>
              <w:t>6</w:t>
            </w:r>
            <w:r>
              <w:rPr>
                <w:rFonts w:hint="eastAsia" w:eastAsia="宋体" w:cs="Times New Roman"/>
                <w:color w:val="auto"/>
                <w:lang w:val="en-US" w:eastAsia="zh-CN"/>
              </w:rPr>
              <w:t>年</w:t>
            </w:r>
            <w:r>
              <w:rPr>
                <w:rFonts w:hint="eastAsia" w:cs="Times New Roman"/>
                <w:color w:val="auto"/>
                <w:lang w:val="en-US" w:eastAsia="zh-CN"/>
              </w:rPr>
              <w:t>3</w:t>
            </w:r>
            <w:r>
              <w:rPr>
                <w:rFonts w:hint="eastAsia" w:eastAsia="宋体" w:cs="Times New Roman"/>
                <w:color w:val="auto"/>
                <w:lang w:val="en-US" w:eastAsia="zh-CN"/>
              </w:rPr>
              <w:t>月</w:t>
            </w:r>
            <w:r>
              <w:rPr>
                <w:rFonts w:hint="eastAsia" w:cs="Times New Roman"/>
                <w:color w:val="auto"/>
                <w:lang w:val="en-US" w:eastAsia="zh-CN"/>
              </w:rPr>
              <w:t>11</w:t>
            </w:r>
            <w:r>
              <w:rPr>
                <w:rFonts w:hint="eastAsia" w:eastAsia="宋体" w:cs="Times New Roman"/>
                <w:color w:val="auto"/>
                <w:lang w:val="en-US" w:eastAsia="zh-CN"/>
              </w:rPr>
              <w:t>日通过蚌埠市龙子湖区发展和改革委员会备案</w:t>
            </w:r>
            <w:r>
              <w:rPr>
                <w:rFonts w:hint="eastAsia" w:cs="Times New Roman"/>
                <w:color w:val="auto"/>
                <w:lang w:val="en-US" w:eastAsia="zh-CN"/>
              </w:rPr>
              <w:t>（</w:t>
            </w:r>
            <w:r>
              <w:rPr>
                <w:rFonts w:hint="eastAsia" w:eastAsia="宋体" w:cs="Times New Roman"/>
                <w:color w:val="auto"/>
                <w:lang w:val="en-US" w:eastAsia="zh-CN"/>
              </w:rPr>
              <w:t>项目代码</w:t>
            </w:r>
            <w:r>
              <w:rPr>
                <w:rFonts w:hint="eastAsia" w:cs="Times New Roman"/>
                <w:color w:val="auto"/>
                <w:lang w:val="en-US" w:eastAsia="zh-CN"/>
              </w:rPr>
              <w:t>：</w:t>
            </w:r>
            <w:r>
              <w:rPr>
                <w:rFonts w:hint="eastAsia" w:eastAsia="宋体" w:cs="Times New Roman"/>
                <w:color w:val="auto"/>
                <w:lang w:val="en-US" w:eastAsia="zh-CN"/>
              </w:rPr>
              <w:t>2509-340302-04-01-408800</w:t>
            </w:r>
            <w:r>
              <w:rPr>
                <w:rFonts w:hint="eastAsia" w:cs="Times New Roman"/>
                <w:color w:val="auto"/>
                <w:lang w:val="en-US" w:eastAsia="zh-CN"/>
              </w:rPr>
              <w:t>）</w:t>
            </w:r>
            <w:r>
              <w:rPr>
                <w:rFonts w:hint="eastAsia" w:eastAsia="宋体" w:cs="Times New Roman"/>
                <w:color w:val="auto"/>
                <w:lang w:val="en-US" w:eastAsia="zh-CN"/>
              </w:rPr>
              <w:t>。</w:t>
            </w:r>
          </w:p>
          <w:p w14:paraId="1E2EE40D">
            <w:pPr>
              <w:spacing w:line="360" w:lineRule="auto"/>
              <w:ind w:firstLine="480" w:firstLineChars="200"/>
              <w:rPr>
                <w:rFonts w:hint="eastAsia" w:eastAsia="宋体" w:cs="Times New Roman"/>
                <w:color w:val="auto"/>
                <w:lang w:val="en-US" w:eastAsia="zh-CN"/>
              </w:rPr>
            </w:pPr>
            <w:r>
              <w:rPr>
                <w:rFonts w:hint="eastAsia" w:eastAsia="宋体" w:cs="Times New Roman"/>
                <w:color w:val="auto"/>
                <w:lang w:val="en-US" w:eastAsia="zh-CN"/>
              </w:rPr>
              <w:t>根据《中华人民共和国环境影响评价法》及《建设项目环境保护管理条例》等法律法规文件，</w:t>
            </w:r>
            <w:r>
              <w:rPr>
                <w:rFonts w:hint="eastAsia" w:cs="Times New Roman"/>
                <w:color w:val="auto"/>
                <w:szCs w:val="21"/>
                <w:lang w:val="en-US" w:eastAsia="zh-CN"/>
              </w:rPr>
              <w:t>蚌埠壹度家居用品有限责任公司</w:t>
            </w:r>
            <w:r>
              <w:rPr>
                <w:rFonts w:hint="eastAsia" w:eastAsia="宋体" w:cs="Times New Roman"/>
                <w:color w:val="auto"/>
                <w:lang w:val="en-US" w:eastAsia="zh-CN"/>
              </w:rPr>
              <w:t>委托</w:t>
            </w:r>
            <w:r>
              <w:rPr>
                <w:rFonts w:hint="eastAsia" w:cs="Times New Roman"/>
                <w:color w:val="auto"/>
                <w:lang w:val="en-US" w:eastAsia="zh-CN"/>
              </w:rPr>
              <w:t>我</w:t>
            </w:r>
            <w:r>
              <w:rPr>
                <w:rFonts w:hint="eastAsia" w:eastAsia="宋体" w:cs="Times New Roman"/>
                <w:color w:val="auto"/>
                <w:lang w:val="en-US" w:eastAsia="zh-CN"/>
              </w:rPr>
              <w:t>司对该项目进行环境影响评价工作。</w:t>
            </w:r>
          </w:p>
          <w:p w14:paraId="7B47414C">
            <w:pPr>
              <w:spacing w:line="360" w:lineRule="auto"/>
              <w:ind w:firstLine="480" w:firstLineChars="200"/>
              <w:rPr>
                <w:rFonts w:hint="default" w:eastAsia="宋体" w:cs="Times New Roman"/>
                <w:color w:val="auto"/>
                <w:lang w:val="en-US" w:eastAsia="zh-CN"/>
              </w:rPr>
            </w:pPr>
            <w:r>
              <w:rPr>
                <w:rFonts w:hint="eastAsia" w:eastAsia="宋体" w:cs="Times New Roman"/>
                <w:color w:val="auto"/>
                <w:highlight w:val="none"/>
                <w:lang w:val="en-US" w:eastAsia="zh-CN"/>
              </w:rPr>
              <w:t>对照《国民经济行业分类》（</w:t>
            </w:r>
            <w:r>
              <w:rPr>
                <w:rFonts w:hint="default" w:eastAsia="宋体" w:cs="Times New Roman"/>
                <w:color w:val="auto"/>
                <w:highlight w:val="none"/>
                <w:lang w:val="en-US" w:eastAsia="zh-CN"/>
              </w:rPr>
              <w:t>GB/T4754-2017</w:t>
            </w:r>
            <w:r>
              <w:rPr>
                <w:rFonts w:hint="eastAsia" w:eastAsia="宋体" w:cs="Times New Roman"/>
                <w:color w:val="auto"/>
                <w:highlight w:val="none"/>
                <w:lang w:val="en-US" w:eastAsia="zh-CN"/>
              </w:rPr>
              <w:t>），本项目属于“</w:t>
            </w:r>
            <w:r>
              <w:rPr>
                <w:rFonts w:hint="default" w:eastAsia="宋体" w:cs="Times New Roman"/>
                <w:color w:val="auto"/>
                <w:highlight w:val="none"/>
                <w:lang w:val="en-US" w:eastAsia="zh-CN"/>
              </w:rPr>
              <w:t>C2927日用塑料制品制造</w:t>
            </w:r>
            <w:r>
              <w:rPr>
                <w:rFonts w:hint="eastAsia" w:eastAsia="宋体" w:cs="Times New Roman"/>
                <w:color w:val="auto"/>
                <w:highlight w:val="none"/>
                <w:lang w:val="en-US" w:eastAsia="zh-CN"/>
              </w:rPr>
              <w:t>”。对照《</w:t>
            </w:r>
            <w:r>
              <w:rPr>
                <w:rFonts w:hint="eastAsia" w:cs="Times New Roman"/>
                <w:color w:val="auto"/>
                <w:highlight w:val="none"/>
                <w:lang w:val="en-US" w:eastAsia="zh-CN"/>
              </w:rPr>
              <w:t>建设项目环境影响评价</w:t>
            </w:r>
            <w:r>
              <w:rPr>
                <w:rFonts w:hint="eastAsia" w:eastAsia="宋体" w:cs="Times New Roman"/>
                <w:color w:val="auto"/>
                <w:highlight w:val="none"/>
                <w:lang w:val="en-US" w:eastAsia="zh-CN"/>
              </w:rPr>
              <w:t>分类管理名录（</w:t>
            </w:r>
            <w:r>
              <w:rPr>
                <w:rFonts w:hint="default" w:eastAsia="宋体" w:cs="Times New Roman"/>
                <w:color w:val="auto"/>
                <w:highlight w:val="none"/>
                <w:lang w:val="en-US" w:eastAsia="zh-CN"/>
              </w:rPr>
              <w:t xml:space="preserve">2021 </w:t>
            </w:r>
            <w:r>
              <w:rPr>
                <w:rFonts w:hint="eastAsia" w:eastAsia="宋体" w:cs="Times New Roman"/>
                <w:color w:val="auto"/>
                <w:highlight w:val="none"/>
                <w:lang w:val="en-US" w:eastAsia="zh-CN"/>
              </w:rPr>
              <w:t>版）》，</w:t>
            </w:r>
            <w:r>
              <w:rPr>
                <w:rFonts w:hint="eastAsia" w:cs="Times New Roman"/>
                <w:color w:val="auto"/>
                <w:highlight w:val="none"/>
                <w:lang w:val="en-US" w:eastAsia="zh-CN"/>
              </w:rPr>
              <w:t>本项目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属于</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二十六、橡胶和塑料制品业2953.塑料制品业292</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中的</w:t>
            </w:r>
            <w:r>
              <w:rPr>
                <w:rFonts w:hint="eastAsia" w:cs="Times New Roman"/>
                <w:color w:val="000000" w:themeColor="text1"/>
                <w:sz w:val="24"/>
                <w:szCs w:val="24"/>
                <w:lang w:val="en-US" w:eastAsia="zh-CN"/>
                <w14:textFill>
                  <w14:solidFill>
                    <w14:schemeClr w14:val="tx1"/>
                  </w14:solidFill>
                </w14:textFill>
              </w:rPr>
              <w:t>“其他”</w:t>
            </w:r>
            <w:r>
              <w:rPr>
                <w:rFonts w:hint="eastAsia" w:eastAsia="宋体" w:cs="Times New Roman"/>
                <w:color w:val="auto"/>
                <w:highlight w:val="none"/>
                <w:lang w:val="en-US" w:eastAsia="zh-CN"/>
              </w:rPr>
              <w:t>，据此判断本项目的环评类别为报告表。</w:t>
            </w:r>
          </w:p>
          <w:p w14:paraId="655E9E55">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bCs/>
                <w:color w:val="auto"/>
                <w:kern w:val="0"/>
                <w:sz w:val="24"/>
                <w:szCs w:val="24"/>
                <w:highlight w:val="none"/>
                <w:lang w:val="en-US" w:eastAsia="zh-CN" w:bidi="ar"/>
              </w:rPr>
            </w:pPr>
            <w:r>
              <w:rPr>
                <w:rFonts w:hint="eastAsia" w:ascii="Times New Roman" w:hAnsi="Times New Roman" w:eastAsia="宋体" w:cs="Times New Roman"/>
                <w:b/>
                <w:color w:val="auto"/>
                <w:sz w:val="21"/>
                <w:szCs w:val="21"/>
                <w:highlight w:val="none"/>
                <w:lang w:val="en-US" w:eastAsia="zh-CN"/>
              </w:rPr>
              <w:t>表2-1  建设项目环境影响评价分类管理名录</w:t>
            </w:r>
          </w:p>
          <w:tbl>
            <w:tblPr>
              <w:tblStyle w:val="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9"/>
              <w:gridCol w:w="1148"/>
              <w:gridCol w:w="3189"/>
              <w:gridCol w:w="2296"/>
              <w:gridCol w:w="687"/>
            </w:tblGrid>
            <w:tr w14:paraId="51473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4" w:type="pct"/>
                  <w:gridSpan w:val="2"/>
                  <w:tcBorders>
                    <w:tl2br w:val="nil"/>
                    <w:tr2bl w:val="nil"/>
                  </w:tcBorders>
                  <w:shd w:val="clear" w:color="auto" w:fill="FFFFFF"/>
                  <w:noWrap/>
                  <w:vAlign w:val="center"/>
                </w:tcPr>
                <w:p w14:paraId="246C8561">
                  <w:pPr>
                    <w:pStyle w:val="44"/>
                    <w:keepNext w:val="0"/>
                    <w:keepLines w:val="0"/>
                    <w:pageBreakBefore w:val="0"/>
                    <w:kinsoku/>
                    <w:wordWrap/>
                    <w:overflowPunct/>
                    <w:topLinePunct w:val="0"/>
                    <w:autoSpaceDE/>
                    <w:autoSpaceDN/>
                    <w:bidi w:val="0"/>
                    <w:adjustRightInd/>
                    <w:snapToGrid/>
                    <w:spacing w:line="240" w:lineRule="auto"/>
                    <w:textAlignment w:val="auto"/>
                    <w:rPr>
                      <w:b/>
                      <w:bCs/>
                      <w:color w:val="auto"/>
                      <w:highlight w:val="none"/>
                    </w:rPr>
                  </w:pPr>
                  <w:r>
                    <w:rPr>
                      <w:rFonts w:hint="eastAsia"/>
                      <w:b/>
                      <w:bCs/>
                      <w:color w:val="auto"/>
                      <w:highlight w:val="none"/>
                    </w:rPr>
                    <w:t>项目类</w:t>
                  </w:r>
                  <w:r>
                    <w:rPr>
                      <w:b/>
                      <w:bCs/>
                      <w:color w:val="auto"/>
                      <w:highlight w:val="none"/>
                    </w:rPr>
                    <w:t>别</w:t>
                  </w:r>
                </w:p>
                <w:p w14:paraId="1DCAAA79">
                  <w:pPr>
                    <w:pStyle w:val="44"/>
                    <w:keepNext w:val="0"/>
                    <w:keepLines w:val="0"/>
                    <w:pageBreakBefore w:val="0"/>
                    <w:kinsoku/>
                    <w:wordWrap/>
                    <w:overflowPunct/>
                    <w:topLinePunct w:val="0"/>
                    <w:autoSpaceDE/>
                    <w:autoSpaceDN/>
                    <w:bidi w:val="0"/>
                    <w:adjustRightInd/>
                    <w:snapToGrid/>
                    <w:spacing w:line="240" w:lineRule="auto"/>
                    <w:textAlignment w:val="auto"/>
                    <w:rPr>
                      <w:b/>
                      <w:bCs/>
                      <w:color w:val="auto"/>
                      <w:highlight w:val="none"/>
                    </w:rPr>
                  </w:pPr>
                  <w:r>
                    <w:rPr>
                      <w:rFonts w:hint="eastAsia"/>
                      <w:b/>
                      <w:bCs/>
                      <w:color w:val="auto"/>
                      <w:highlight w:val="none"/>
                    </w:rPr>
                    <w:t>环评类别</w:t>
                  </w:r>
                </w:p>
              </w:tc>
              <w:tc>
                <w:tcPr>
                  <w:tcW w:w="2039" w:type="pct"/>
                  <w:tcBorders>
                    <w:tl2br w:val="nil"/>
                    <w:tr2bl w:val="nil"/>
                  </w:tcBorders>
                  <w:shd w:val="clear" w:color="auto" w:fill="FFFFFF"/>
                  <w:noWrap/>
                  <w:vAlign w:val="center"/>
                </w:tcPr>
                <w:p w14:paraId="47289B20">
                  <w:pPr>
                    <w:pStyle w:val="44"/>
                    <w:keepNext w:val="0"/>
                    <w:keepLines w:val="0"/>
                    <w:pageBreakBefore w:val="0"/>
                    <w:kinsoku/>
                    <w:wordWrap/>
                    <w:overflowPunct/>
                    <w:topLinePunct w:val="0"/>
                    <w:autoSpaceDE/>
                    <w:autoSpaceDN/>
                    <w:bidi w:val="0"/>
                    <w:adjustRightInd/>
                    <w:snapToGrid/>
                    <w:spacing w:line="240" w:lineRule="auto"/>
                    <w:textAlignment w:val="auto"/>
                    <w:rPr>
                      <w:b/>
                      <w:bCs/>
                      <w:color w:val="auto"/>
                      <w:highlight w:val="none"/>
                    </w:rPr>
                  </w:pPr>
                  <w:r>
                    <w:rPr>
                      <w:b/>
                      <w:bCs/>
                      <w:color w:val="auto"/>
                      <w:highlight w:val="none"/>
                    </w:rPr>
                    <w:t>报告书</w:t>
                  </w:r>
                </w:p>
              </w:tc>
              <w:tc>
                <w:tcPr>
                  <w:tcW w:w="1468" w:type="pct"/>
                  <w:tcBorders>
                    <w:tl2br w:val="nil"/>
                    <w:tr2bl w:val="nil"/>
                  </w:tcBorders>
                  <w:shd w:val="clear" w:color="auto" w:fill="FFFFFF"/>
                  <w:noWrap/>
                  <w:vAlign w:val="center"/>
                </w:tcPr>
                <w:p w14:paraId="337E148D">
                  <w:pPr>
                    <w:pStyle w:val="44"/>
                    <w:keepNext w:val="0"/>
                    <w:keepLines w:val="0"/>
                    <w:pageBreakBefore w:val="0"/>
                    <w:kinsoku/>
                    <w:wordWrap/>
                    <w:overflowPunct/>
                    <w:topLinePunct w:val="0"/>
                    <w:autoSpaceDE/>
                    <w:autoSpaceDN/>
                    <w:bidi w:val="0"/>
                    <w:adjustRightInd/>
                    <w:snapToGrid/>
                    <w:spacing w:line="240" w:lineRule="auto"/>
                    <w:textAlignment w:val="auto"/>
                    <w:rPr>
                      <w:b/>
                      <w:bCs/>
                      <w:color w:val="auto"/>
                      <w:highlight w:val="none"/>
                    </w:rPr>
                  </w:pPr>
                  <w:r>
                    <w:rPr>
                      <w:b/>
                      <w:bCs/>
                      <w:color w:val="auto"/>
                      <w:highlight w:val="none"/>
                    </w:rPr>
                    <w:t>报告表</w:t>
                  </w:r>
                </w:p>
              </w:tc>
              <w:tc>
                <w:tcPr>
                  <w:tcW w:w="437" w:type="pct"/>
                  <w:tcBorders>
                    <w:tl2br w:val="nil"/>
                    <w:tr2bl w:val="nil"/>
                  </w:tcBorders>
                  <w:shd w:val="clear" w:color="auto" w:fill="FFFFFF"/>
                  <w:noWrap/>
                  <w:vAlign w:val="center"/>
                </w:tcPr>
                <w:p w14:paraId="5154E91F">
                  <w:pPr>
                    <w:pStyle w:val="44"/>
                    <w:keepNext w:val="0"/>
                    <w:keepLines w:val="0"/>
                    <w:pageBreakBefore w:val="0"/>
                    <w:kinsoku/>
                    <w:wordWrap/>
                    <w:overflowPunct/>
                    <w:topLinePunct w:val="0"/>
                    <w:autoSpaceDE/>
                    <w:autoSpaceDN/>
                    <w:bidi w:val="0"/>
                    <w:adjustRightInd/>
                    <w:snapToGrid/>
                    <w:spacing w:line="240" w:lineRule="auto"/>
                    <w:textAlignment w:val="auto"/>
                    <w:rPr>
                      <w:b/>
                      <w:bCs/>
                      <w:color w:val="auto"/>
                      <w:highlight w:val="none"/>
                    </w:rPr>
                  </w:pPr>
                  <w:r>
                    <w:rPr>
                      <w:b/>
                      <w:bCs/>
                      <w:color w:val="auto"/>
                      <w:highlight w:val="none"/>
                    </w:rPr>
                    <w:t>登记表</w:t>
                  </w:r>
                </w:p>
              </w:tc>
            </w:tr>
            <w:tr w14:paraId="60FD7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000" w:type="pct"/>
                  <w:gridSpan w:val="5"/>
                  <w:tcBorders>
                    <w:tl2br w:val="nil"/>
                    <w:tr2bl w:val="nil"/>
                  </w:tcBorders>
                  <w:shd w:val="clear" w:color="auto" w:fill="auto"/>
                  <w:noWrap/>
                  <w:vAlign w:val="center"/>
                </w:tcPr>
                <w:p w14:paraId="6A7AFFD9">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二十六、橡胶和塑料制品业29</w:t>
                  </w:r>
                </w:p>
              </w:tc>
            </w:tr>
            <w:tr w14:paraId="6EBA1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8" w:hRule="atLeast"/>
                <w:jc w:val="center"/>
              </w:trPr>
              <w:tc>
                <w:tcPr>
                  <w:tcW w:w="320" w:type="pct"/>
                  <w:tcBorders>
                    <w:tl2br w:val="nil"/>
                    <w:tr2bl w:val="nil"/>
                  </w:tcBorders>
                  <w:shd w:val="clear" w:color="auto" w:fill="auto"/>
                  <w:noWrap/>
                  <w:vAlign w:val="center"/>
                </w:tcPr>
                <w:p w14:paraId="237C5210">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53</w:t>
                  </w:r>
                </w:p>
              </w:tc>
              <w:tc>
                <w:tcPr>
                  <w:tcW w:w="733" w:type="pct"/>
                  <w:tcBorders>
                    <w:tl2br w:val="nil"/>
                    <w:tr2bl w:val="nil"/>
                  </w:tcBorders>
                  <w:shd w:val="clear" w:color="auto" w:fill="auto"/>
                  <w:noWrap/>
                  <w:vAlign w:val="center"/>
                </w:tcPr>
                <w:p w14:paraId="5231F95A">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塑料制品业292</w:t>
                  </w:r>
                </w:p>
              </w:tc>
              <w:tc>
                <w:tcPr>
                  <w:tcW w:w="2039" w:type="pct"/>
                  <w:tcBorders>
                    <w:tl2br w:val="nil"/>
                    <w:tr2bl w:val="nil"/>
                  </w:tcBorders>
                  <w:shd w:val="clear" w:color="auto" w:fill="auto"/>
                  <w:noWrap/>
                  <w:vAlign w:val="center"/>
                </w:tcPr>
                <w:p w14:paraId="0DAF3AA5">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以再生塑料为原料生产的；有电镀工艺的；年用溶剂型胶粘剂10吨及以上的；年用溶剂型涂料（含稀释剂）10吨及以上的</w:t>
                  </w:r>
                </w:p>
              </w:tc>
              <w:tc>
                <w:tcPr>
                  <w:tcW w:w="1468" w:type="pct"/>
                  <w:tcBorders>
                    <w:tl2br w:val="nil"/>
                    <w:tr2bl w:val="nil"/>
                  </w:tcBorders>
                  <w:shd w:val="clear" w:color="auto" w:fill="BEBEBE" w:themeFill="background1" w:themeFillShade="BF"/>
                  <w:noWrap/>
                  <w:vAlign w:val="center"/>
                </w:tcPr>
                <w:p w14:paraId="17EEB123">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其他（年用非溶剂型低</w:t>
                  </w:r>
                  <w:r>
                    <w:rPr>
                      <w:rFonts w:hint="eastAsia" w:cs="Times New Roman"/>
                      <w:b w:val="0"/>
                      <w:snapToGrid w:val="0"/>
                      <w:color w:val="auto"/>
                      <w:kern w:val="0"/>
                      <w:sz w:val="21"/>
                      <w:szCs w:val="21"/>
                      <w:lang w:val="en-US" w:eastAsia="zh-CN" w:bidi="ar"/>
                    </w:rPr>
                    <w:t>VOCS</w:t>
                  </w:r>
                  <w:r>
                    <w:rPr>
                      <w:rFonts w:hint="eastAsia" w:ascii="Times New Roman" w:hAnsi="Times New Roman" w:eastAsia="宋体" w:cs="Times New Roman"/>
                      <w:b w:val="0"/>
                      <w:snapToGrid w:val="0"/>
                      <w:color w:val="auto"/>
                      <w:kern w:val="0"/>
                      <w:sz w:val="21"/>
                      <w:szCs w:val="21"/>
                      <w:lang w:val="en-US" w:eastAsia="zh-CN" w:bidi="ar"/>
                    </w:rPr>
                    <w:t>含量涂料</w:t>
                  </w:r>
                  <w:r>
                    <w:rPr>
                      <w:rFonts w:hint="default" w:ascii="Times New Roman" w:hAnsi="Times New Roman" w:eastAsia="宋体" w:cs="Times New Roman"/>
                      <w:b w:val="0"/>
                      <w:snapToGrid w:val="0"/>
                      <w:color w:val="auto"/>
                      <w:kern w:val="0"/>
                      <w:sz w:val="21"/>
                      <w:szCs w:val="21"/>
                      <w:lang w:val="en-US" w:eastAsia="zh-CN" w:bidi="ar"/>
                    </w:rPr>
                    <w:t>10</w:t>
                  </w:r>
                  <w:r>
                    <w:rPr>
                      <w:rFonts w:hint="eastAsia" w:ascii="Times New Roman" w:hAnsi="Times New Roman" w:eastAsia="宋体" w:cs="Times New Roman"/>
                      <w:b w:val="0"/>
                      <w:snapToGrid w:val="0"/>
                      <w:color w:val="auto"/>
                      <w:kern w:val="0"/>
                      <w:sz w:val="21"/>
                      <w:szCs w:val="21"/>
                      <w:lang w:val="en-US" w:eastAsia="zh-CN" w:bidi="ar"/>
                    </w:rPr>
                    <w:t>吨以下的除外）</w:t>
                  </w:r>
                </w:p>
              </w:tc>
              <w:tc>
                <w:tcPr>
                  <w:tcW w:w="437" w:type="pct"/>
                  <w:tcBorders>
                    <w:tl2br w:val="nil"/>
                    <w:tr2bl w:val="nil"/>
                  </w:tcBorders>
                  <w:shd w:val="clear" w:color="auto" w:fill="auto"/>
                  <w:noWrap/>
                  <w:vAlign w:val="center"/>
                </w:tcPr>
                <w:p w14:paraId="0E25055F">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w:t>
                  </w:r>
                </w:p>
              </w:tc>
            </w:tr>
          </w:tbl>
          <w:p w14:paraId="37039908">
            <w:pPr>
              <w:pStyle w:val="5"/>
              <w:ind w:firstLine="480" w:firstLineChars="200"/>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对照《固定污染源排污许可证许可分类管理名录》(2019年版），本项目属于“二十四、橡胶和塑料制品业29”-“塑料制品业292”中的“其他”，排污许可类别属于登记管理项目。</w:t>
            </w:r>
          </w:p>
          <w:p w14:paraId="75569EBB">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表2-2  《固定污染源排污许可分类管理名录（</w:t>
            </w:r>
            <w:r>
              <w:rPr>
                <w:rFonts w:hint="default" w:ascii="Times New Roman" w:hAnsi="Times New Roman" w:eastAsia="宋体" w:cs="Times New Roman"/>
                <w:b/>
                <w:color w:val="auto"/>
                <w:sz w:val="21"/>
                <w:szCs w:val="21"/>
                <w:highlight w:val="none"/>
                <w:lang w:val="en-US" w:eastAsia="zh-CN"/>
              </w:rPr>
              <w:t>2019</w:t>
            </w:r>
            <w:r>
              <w:rPr>
                <w:rFonts w:hint="eastAsia" w:ascii="Times New Roman" w:hAnsi="Times New Roman" w:eastAsia="宋体" w:cs="Times New Roman"/>
                <w:b/>
                <w:color w:val="auto"/>
                <w:sz w:val="21"/>
                <w:szCs w:val="21"/>
                <w:highlight w:val="none"/>
                <w:lang w:val="en-US" w:eastAsia="zh-CN"/>
              </w:rPr>
              <w:t>年版）》分类规定</w:t>
            </w:r>
          </w:p>
          <w:tbl>
            <w:tblPr>
              <w:tblStyle w:val="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6"/>
              <w:gridCol w:w="920"/>
              <w:gridCol w:w="1136"/>
              <w:gridCol w:w="4571"/>
              <w:gridCol w:w="699"/>
            </w:tblGrid>
            <w:tr w14:paraId="5831C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317" w:type="pct"/>
                  <w:tcBorders>
                    <w:tl2br w:val="nil"/>
                    <w:tr2bl w:val="nil"/>
                  </w:tcBorders>
                  <w:shd w:val="clear" w:color="auto" w:fill="FFFFFF"/>
                  <w:noWrap/>
                  <w:vAlign w:val="center"/>
                </w:tcPr>
                <w:p w14:paraId="564035E9">
                  <w:pPr>
                    <w:pStyle w:val="44"/>
                    <w:keepNext w:val="0"/>
                    <w:keepLines w:val="0"/>
                    <w:pageBreakBefore w:val="0"/>
                    <w:wordWrap/>
                    <w:overflowPunct/>
                    <w:topLinePunct w:val="0"/>
                    <w:bidi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588" w:type="pct"/>
                  <w:tcBorders>
                    <w:tl2br w:val="nil"/>
                    <w:tr2bl w:val="nil"/>
                  </w:tcBorders>
                  <w:shd w:val="clear" w:color="auto" w:fill="FFFFFF"/>
                  <w:noWrap/>
                  <w:vAlign w:val="center"/>
                </w:tcPr>
                <w:p w14:paraId="2CEBC1DF">
                  <w:pPr>
                    <w:pStyle w:val="44"/>
                    <w:keepNext w:val="0"/>
                    <w:keepLines w:val="0"/>
                    <w:pageBreakBefore w:val="0"/>
                    <w:wordWrap/>
                    <w:overflowPunct/>
                    <w:topLinePunct w:val="0"/>
                    <w:bidi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行业类别</w:t>
                  </w:r>
                </w:p>
              </w:tc>
              <w:tc>
                <w:tcPr>
                  <w:tcW w:w="726" w:type="pct"/>
                  <w:tcBorders>
                    <w:tl2br w:val="nil"/>
                    <w:tr2bl w:val="nil"/>
                  </w:tcBorders>
                  <w:shd w:val="clear" w:color="auto" w:fill="FFFFFF"/>
                  <w:noWrap/>
                  <w:vAlign w:val="center"/>
                </w:tcPr>
                <w:p w14:paraId="39628918">
                  <w:pPr>
                    <w:pStyle w:val="44"/>
                    <w:keepNext w:val="0"/>
                    <w:keepLines w:val="0"/>
                    <w:pageBreakBefore w:val="0"/>
                    <w:wordWrap/>
                    <w:overflowPunct/>
                    <w:topLinePunct w:val="0"/>
                    <w:bidi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重点管理</w:t>
                  </w:r>
                </w:p>
              </w:tc>
              <w:tc>
                <w:tcPr>
                  <w:tcW w:w="2922" w:type="pct"/>
                  <w:tcBorders>
                    <w:tl2br w:val="nil"/>
                    <w:tr2bl w:val="nil"/>
                  </w:tcBorders>
                  <w:shd w:val="clear" w:color="auto" w:fill="FFFFFF"/>
                  <w:noWrap/>
                  <w:vAlign w:val="center"/>
                </w:tcPr>
                <w:p w14:paraId="62D05676">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lang w:val="en-US" w:eastAsia="zh-CN"/>
                    </w:rPr>
                    <w:t>简化</w:t>
                  </w:r>
                  <w:r>
                    <w:rPr>
                      <w:rFonts w:hint="default" w:ascii="Times New Roman" w:hAnsi="Times New Roman" w:cs="Times New Roman"/>
                      <w:b/>
                      <w:bCs/>
                      <w:color w:val="auto"/>
                      <w:sz w:val="21"/>
                      <w:szCs w:val="21"/>
                      <w:lang w:eastAsia="zh-CN"/>
                    </w:rPr>
                    <w:t>管理</w:t>
                  </w:r>
                </w:p>
              </w:tc>
              <w:tc>
                <w:tcPr>
                  <w:tcW w:w="445" w:type="pct"/>
                  <w:tcBorders>
                    <w:tl2br w:val="nil"/>
                    <w:tr2bl w:val="nil"/>
                  </w:tcBorders>
                  <w:shd w:val="clear" w:color="auto" w:fill="FFFFFF"/>
                  <w:noWrap/>
                  <w:vAlign w:val="center"/>
                </w:tcPr>
                <w:p w14:paraId="4110FEE9">
                  <w:pPr>
                    <w:pStyle w:val="44"/>
                    <w:keepNext w:val="0"/>
                    <w:keepLines w:val="0"/>
                    <w:pageBreakBefore w:val="0"/>
                    <w:wordWrap/>
                    <w:overflowPunct/>
                    <w:topLinePunct w:val="0"/>
                    <w:bidi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登记管理</w:t>
                  </w:r>
                </w:p>
              </w:tc>
            </w:tr>
            <w:tr w14:paraId="256CF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5000" w:type="pct"/>
                  <w:gridSpan w:val="5"/>
                  <w:tcBorders>
                    <w:tl2br w:val="nil"/>
                    <w:tr2bl w:val="nil"/>
                  </w:tcBorders>
                  <w:shd w:val="clear" w:color="auto" w:fill="auto"/>
                  <w:noWrap/>
                  <w:vAlign w:val="center"/>
                </w:tcPr>
                <w:p w14:paraId="33DD3734">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二十四、橡胶和塑料制品业29</w:t>
                  </w:r>
                </w:p>
              </w:tc>
            </w:tr>
            <w:tr w14:paraId="12262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317" w:type="pct"/>
                  <w:tcBorders>
                    <w:tl2br w:val="nil"/>
                    <w:tr2bl w:val="nil"/>
                  </w:tcBorders>
                  <w:shd w:val="clear" w:color="auto" w:fill="auto"/>
                  <w:noWrap/>
                  <w:vAlign w:val="center"/>
                </w:tcPr>
                <w:p w14:paraId="0FDC25B4">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62</w:t>
                  </w:r>
                </w:p>
              </w:tc>
              <w:tc>
                <w:tcPr>
                  <w:tcW w:w="588" w:type="pct"/>
                  <w:tcBorders>
                    <w:tl2br w:val="nil"/>
                    <w:tr2bl w:val="nil"/>
                  </w:tcBorders>
                  <w:shd w:val="clear" w:color="auto" w:fill="auto"/>
                  <w:noWrap/>
                  <w:vAlign w:val="center"/>
                </w:tcPr>
                <w:p w14:paraId="2DD49EC5">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塑料制品业292</w:t>
                  </w:r>
                </w:p>
              </w:tc>
              <w:tc>
                <w:tcPr>
                  <w:tcW w:w="726" w:type="pct"/>
                  <w:tcBorders>
                    <w:tl2br w:val="nil"/>
                    <w:tr2bl w:val="nil"/>
                  </w:tcBorders>
                  <w:shd w:val="clear" w:color="auto" w:fill="auto"/>
                  <w:noWrap/>
                  <w:vAlign w:val="center"/>
                </w:tcPr>
                <w:p w14:paraId="384D625E">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塑料人造革、合成革制造2925</w:t>
                  </w:r>
                </w:p>
              </w:tc>
              <w:tc>
                <w:tcPr>
                  <w:tcW w:w="2922" w:type="pct"/>
                  <w:tcBorders>
                    <w:tl2br w:val="nil"/>
                    <w:tr2bl w:val="nil"/>
                  </w:tcBorders>
                  <w:shd w:val="clear" w:color="auto" w:fill="auto"/>
                  <w:noWrap/>
                  <w:vAlign w:val="center"/>
                </w:tcPr>
                <w:p w14:paraId="6B99D5FC">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年产1万吨及以上的泡沫塑料制品2924，年产1万吨及以上涉及改性的塑料薄膜制造2921、塑料板、管、型材制造2922、塑料丝、绳和编织品制造2923、塑料包装箱及容器制造2926、日用塑料制品制造2927、人造草坪制造2928、塑料零件及其他塑料制品制造2929</w:t>
                  </w:r>
                </w:p>
              </w:tc>
              <w:tc>
                <w:tcPr>
                  <w:tcW w:w="445" w:type="pct"/>
                  <w:tcBorders>
                    <w:tl2br w:val="nil"/>
                    <w:tr2bl w:val="nil"/>
                  </w:tcBorders>
                  <w:shd w:val="clear" w:color="auto" w:fill="BEBEBE" w:themeFill="background1" w:themeFillShade="BF"/>
                  <w:noWrap/>
                  <w:vAlign w:val="center"/>
                </w:tcPr>
                <w:p w14:paraId="69FE44CC">
                  <w:pPr>
                    <w:pStyle w:val="44"/>
                    <w:keepNext w:val="0"/>
                    <w:keepLines w:val="0"/>
                    <w:pageBreakBefore w:val="0"/>
                    <w:wordWrap/>
                    <w:overflowPunct/>
                    <w:topLinePunct w:val="0"/>
                    <w:bidi w:val="0"/>
                    <w:spacing w:line="240" w:lineRule="auto"/>
                    <w:jc w:val="center"/>
                    <w:rPr>
                      <w:rFonts w:hint="default" w:ascii="Times New Roman" w:hAnsi="Times New Roman" w:eastAsia="宋体" w:cs="Times New Roman"/>
                      <w:b w:val="0"/>
                      <w:snapToGrid w:val="0"/>
                      <w:color w:val="auto"/>
                      <w:kern w:val="0"/>
                      <w:sz w:val="21"/>
                      <w:szCs w:val="21"/>
                      <w:lang w:val="en-US" w:eastAsia="zh-CN" w:bidi="ar"/>
                    </w:rPr>
                  </w:pPr>
                  <w:r>
                    <w:rPr>
                      <w:rFonts w:hint="eastAsia" w:ascii="Times New Roman" w:hAnsi="Times New Roman" w:eastAsia="宋体" w:cs="Times New Roman"/>
                      <w:b w:val="0"/>
                      <w:snapToGrid w:val="0"/>
                      <w:color w:val="auto"/>
                      <w:kern w:val="0"/>
                      <w:sz w:val="21"/>
                      <w:szCs w:val="21"/>
                      <w:lang w:val="en-US" w:eastAsia="zh-CN" w:bidi="ar"/>
                    </w:rPr>
                    <w:t>其他</w:t>
                  </w:r>
                </w:p>
              </w:tc>
            </w:tr>
          </w:tbl>
          <w:p w14:paraId="1ED9F67D">
            <w:pPr>
              <w:adjustRightInd w:val="0"/>
              <w:snapToGrid w:val="0"/>
              <w:spacing w:line="360" w:lineRule="auto"/>
              <w:ind w:left="0" w:leftChars="0" w:firstLine="480" w:firstLineChars="200"/>
              <w:rPr>
                <w:rFonts w:ascii="Times New Roman" w:hAnsi="Times New Roman"/>
                <w:b w:val="0"/>
                <w:bCs w:val="0"/>
                <w:color w:val="auto"/>
                <w:sz w:val="24"/>
              </w:rPr>
            </w:pPr>
            <w:r>
              <w:rPr>
                <w:rFonts w:ascii="Times New Roman" w:hAnsi="Times New Roman"/>
                <w:b w:val="0"/>
                <w:bCs w:val="0"/>
                <w:color w:val="auto"/>
                <w:sz w:val="24"/>
              </w:rPr>
              <w:t>2、项目概况</w:t>
            </w:r>
          </w:p>
          <w:p w14:paraId="7ADB3DAA">
            <w:pPr>
              <w:spacing w:line="360" w:lineRule="auto"/>
              <w:ind w:firstLine="480" w:firstLineChars="20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项目名称：</w:t>
            </w:r>
            <w:r>
              <w:rPr>
                <w:rFonts w:hint="eastAsia" w:cs="Times New Roman"/>
                <w:b w:val="0"/>
                <w:bCs/>
                <w:color w:val="auto"/>
                <w:szCs w:val="21"/>
                <w:lang w:val="en-US" w:eastAsia="zh-CN"/>
              </w:rPr>
              <w:t>年产300万只保温容器外壳项目</w:t>
            </w:r>
            <w:r>
              <w:rPr>
                <w:rFonts w:hint="default" w:ascii="Times New Roman" w:hAnsi="Times New Roman" w:cs="Times New Roman"/>
                <w:b w:val="0"/>
                <w:bCs/>
                <w:color w:val="auto"/>
                <w:sz w:val="24"/>
                <w:highlight w:val="none"/>
              </w:rPr>
              <w:t>；</w:t>
            </w:r>
          </w:p>
          <w:p w14:paraId="31B07FFC">
            <w:pPr>
              <w:spacing w:line="360" w:lineRule="auto"/>
              <w:ind w:firstLine="480" w:firstLineChars="20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建设性质：</w:t>
            </w:r>
            <w:r>
              <w:rPr>
                <w:rFonts w:hint="eastAsia" w:cs="Times New Roman"/>
                <w:b w:val="0"/>
                <w:bCs/>
                <w:color w:val="auto"/>
                <w:sz w:val="24"/>
                <w:highlight w:val="none"/>
                <w:lang w:eastAsia="zh-CN"/>
              </w:rPr>
              <w:t>新建</w:t>
            </w:r>
            <w:r>
              <w:rPr>
                <w:rFonts w:hint="default" w:ascii="Times New Roman" w:hAnsi="Times New Roman" w:cs="Times New Roman"/>
                <w:b w:val="0"/>
                <w:bCs/>
                <w:color w:val="auto"/>
                <w:sz w:val="24"/>
                <w:highlight w:val="none"/>
              </w:rPr>
              <w:t>；</w:t>
            </w:r>
          </w:p>
          <w:p w14:paraId="47C456B9">
            <w:pPr>
              <w:spacing w:line="360" w:lineRule="auto"/>
              <w:ind w:firstLine="480" w:firstLineChars="20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建设单位：</w:t>
            </w:r>
            <w:r>
              <w:rPr>
                <w:rFonts w:hint="eastAsia" w:cs="Times New Roman"/>
                <w:b w:val="0"/>
                <w:bCs/>
                <w:color w:val="auto"/>
                <w:szCs w:val="21"/>
                <w:lang w:val="en-US" w:eastAsia="zh-CN"/>
              </w:rPr>
              <w:t>蚌埠壹度家居用品有限责任公司</w:t>
            </w:r>
            <w:r>
              <w:rPr>
                <w:rFonts w:hint="default" w:ascii="Times New Roman" w:hAnsi="Times New Roman" w:eastAsia="宋体" w:cs="Times New Roman"/>
                <w:b w:val="0"/>
                <w:bCs/>
                <w:color w:val="auto"/>
                <w:szCs w:val="21"/>
                <w:lang w:val="en-US" w:eastAsia="zh-CN"/>
              </w:rPr>
              <w:t>；</w:t>
            </w:r>
          </w:p>
          <w:p w14:paraId="1C51127F">
            <w:pPr>
              <w:spacing w:line="360" w:lineRule="auto"/>
              <w:ind w:firstLine="480" w:firstLineChars="20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行业类别：</w:t>
            </w:r>
            <w:r>
              <w:rPr>
                <w:rFonts w:hint="eastAsia" w:cs="Times New Roman"/>
                <w:b w:val="0"/>
                <w:bCs/>
                <w:color w:val="auto"/>
                <w:szCs w:val="21"/>
                <w:lang w:val="en-US" w:eastAsia="zh-CN"/>
              </w:rPr>
              <w:t>C2927日用塑料制品制造</w:t>
            </w:r>
            <w:r>
              <w:rPr>
                <w:rFonts w:hint="default" w:ascii="Times New Roman" w:hAnsi="Times New Roman" w:cs="Times New Roman"/>
                <w:b w:val="0"/>
                <w:bCs/>
                <w:color w:val="auto"/>
                <w:sz w:val="24"/>
                <w:highlight w:val="none"/>
              </w:rPr>
              <w:t>；</w:t>
            </w:r>
          </w:p>
          <w:p w14:paraId="53631D3E">
            <w:pPr>
              <w:spacing w:line="360" w:lineRule="auto"/>
              <w:ind w:firstLine="480" w:firstLineChars="20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建设地点：</w:t>
            </w:r>
            <w:r>
              <w:rPr>
                <w:rFonts w:hint="eastAsia" w:cs="Times New Roman"/>
                <w:b w:val="0"/>
                <w:bCs/>
                <w:color w:val="auto"/>
                <w:lang w:val="en-US" w:eastAsia="zh-CN"/>
              </w:rPr>
              <w:t>安徽省蚌埠市龙子湖区李楼乡胜利东路199号（厂区东片）</w:t>
            </w:r>
            <w:r>
              <w:rPr>
                <w:rFonts w:hint="default" w:ascii="Times New Roman" w:hAnsi="Times New Roman" w:cs="Times New Roman"/>
                <w:b w:val="0"/>
                <w:bCs/>
                <w:color w:val="auto"/>
                <w:sz w:val="24"/>
                <w:highlight w:val="none"/>
              </w:rPr>
              <w:t>；</w:t>
            </w:r>
          </w:p>
          <w:p w14:paraId="4767E637">
            <w:pPr>
              <w:spacing w:line="360" w:lineRule="auto"/>
              <w:ind w:firstLine="480" w:firstLineChars="200"/>
              <w:rPr>
                <w:rFonts w:hint="default" w:ascii="Times New Roman" w:hAnsi="Times New Roman" w:eastAsia="宋体" w:cs="Times New Roman"/>
                <w:b w:val="0"/>
                <w:bCs/>
                <w:color w:val="auto"/>
                <w:sz w:val="24"/>
                <w:highlight w:val="none"/>
                <w:lang w:val="en-US" w:eastAsia="zh-CN"/>
              </w:rPr>
            </w:pPr>
            <w:r>
              <w:rPr>
                <w:rFonts w:hint="default" w:ascii="Times New Roman" w:hAnsi="Times New Roman" w:cs="Times New Roman"/>
                <w:b w:val="0"/>
                <w:bCs/>
                <w:color w:val="auto"/>
                <w:sz w:val="24"/>
                <w:highlight w:val="none"/>
              </w:rPr>
              <w:t>建设内容及规模：</w:t>
            </w:r>
            <w:r>
              <w:rPr>
                <w:rFonts w:hint="default" w:ascii="Times New Roman" w:hAnsi="Times New Roman" w:eastAsia="宋体" w:cs="Times New Roman"/>
                <w:b w:val="0"/>
                <w:bCs/>
                <w:color w:val="auto"/>
                <w:sz w:val="24"/>
                <w:highlight w:val="none"/>
                <w:lang w:val="en-US" w:eastAsia="zh-CN"/>
              </w:rPr>
              <w:t>项目租用安徽省蚌埠市龙子湖区李楼乡胜利东路199号（厂区东片）厂房总计6000平方米，进行厂房维修、办公楼装修，购置塑料外壳生产线2条、变压器及附属设备等</w:t>
            </w:r>
            <w:r>
              <w:rPr>
                <w:rFonts w:hint="eastAsia" w:cs="Times New Roman"/>
                <w:b w:val="0"/>
                <w:bCs/>
                <w:color w:val="auto"/>
                <w:sz w:val="24"/>
                <w:highlight w:val="none"/>
                <w:lang w:val="en-US" w:eastAsia="zh-CN"/>
              </w:rPr>
              <w:t>，建设完成后可产保温容器外壳300万只。</w:t>
            </w:r>
          </w:p>
          <w:p w14:paraId="1CA9150C">
            <w:pPr>
              <w:spacing w:line="360" w:lineRule="auto"/>
              <w:ind w:firstLine="480"/>
              <w:rPr>
                <w:rFonts w:hint="default" w:ascii="Times New Roman" w:hAnsi="Times New Roman" w:cs="Times New Roman"/>
                <w:color w:val="auto"/>
                <w:sz w:val="24"/>
                <w:highlight w:val="none"/>
              </w:rPr>
            </w:pPr>
            <w:r>
              <w:rPr>
                <w:rFonts w:hint="default" w:ascii="Times New Roman" w:hAnsi="Times New Roman" w:cs="Times New Roman"/>
                <w:b w:val="0"/>
                <w:bCs/>
                <w:color w:val="auto"/>
                <w:sz w:val="24"/>
                <w:highlight w:val="none"/>
              </w:rPr>
              <w:t>项目投资：项目总投资</w:t>
            </w:r>
            <w:r>
              <w:rPr>
                <w:rFonts w:hint="eastAsia" w:cs="Times New Roman"/>
                <w:color w:val="auto"/>
                <w:sz w:val="24"/>
                <w:highlight w:val="none"/>
                <w:lang w:val="en-US" w:eastAsia="zh-CN"/>
              </w:rPr>
              <w:t>540</w:t>
            </w:r>
            <w:r>
              <w:rPr>
                <w:rFonts w:hint="default" w:ascii="Times New Roman" w:hAnsi="Times New Roman" w:cs="Times New Roman"/>
                <w:color w:val="auto"/>
                <w:sz w:val="24"/>
                <w:highlight w:val="none"/>
              </w:rPr>
              <w:t>万元，其中环保投资</w:t>
            </w:r>
            <w:r>
              <w:rPr>
                <w:rFonts w:hint="eastAsia" w:cs="Times New Roman"/>
                <w:color w:val="auto"/>
                <w:sz w:val="24"/>
                <w:highlight w:val="none"/>
                <w:lang w:val="en-US" w:eastAsia="zh-CN"/>
              </w:rPr>
              <w:t>20</w:t>
            </w:r>
            <w:r>
              <w:rPr>
                <w:rFonts w:hint="default" w:ascii="Times New Roman" w:hAnsi="Times New Roman" w:cs="Times New Roman"/>
                <w:color w:val="auto"/>
                <w:sz w:val="24"/>
                <w:highlight w:val="none"/>
              </w:rPr>
              <w:t>万元，占总投资的</w:t>
            </w:r>
            <w:r>
              <w:rPr>
                <w:rFonts w:hint="eastAsia" w:cs="Times New Roman"/>
                <w:color w:val="auto"/>
                <w:sz w:val="24"/>
                <w:highlight w:val="none"/>
                <w:lang w:val="en-US" w:eastAsia="zh-CN"/>
              </w:rPr>
              <w:t>3.7</w:t>
            </w:r>
            <w:r>
              <w:rPr>
                <w:rFonts w:hint="default" w:ascii="Times New Roman" w:hAnsi="Times New Roman" w:cs="Times New Roman"/>
                <w:color w:val="auto"/>
                <w:sz w:val="24"/>
                <w:highlight w:val="none"/>
              </w:rPr>
              <w:t>%。</w:t>
            </w:r>
          </w:p>
          <w:p w14:paraId="009A11FD">
            <w:pPr>
              <w:tabs>
                <w:tab w:val="center" w:pos="4153"/>
                <w:tab w:val="right" w:pos="8306"/>
              </w:tabs>
              <w:ind w:firstLine="480"/>
              <w:rPr>
                <w:rFonts w:hint="eastAsia"/>
                <w:bCs/>
                <w:color w:val="auto"/>
                <w:sz w:val="24"/>
                <w:highlight w:val="none"/>
                <w:lang w:val="en-US" w:eastAsia="zh-CN"/>
              </w:rPr>
            </w:pPr>
            <w:r>
              <w:rPr>
                <w:rFonts w:hint="eastAsia"/>
                <w:bCs/>
                <w:color w:val="auto"/>
                <w:sz w:val="24"/>
                <w:highlight w:val="none"/>
                <w:lang w:val="en-US" w:eastAsia="zh-CN"/>
              </w:rPr>
              <w:t>3、产品方案</w:t>
            </w:r>
          </w:p>
          <w:p w14:paraId="4FC68105">
            <w:pPr>
              <w:tabs>
                <w:tab w:val="center" w:pos="4153"/>
                <w:tab w:val="right" w:pos="8306"/>
              </w:tabs>
              <w:ind w:firstLine="480"/>
              <w:rPr>
                <w:rFonts w:hint="default" w:ascii="Times New Roman" w:hAnsi="Times New Roman" w:cs="Times New Roman"/>
                <w:color w:val="auto"/>
              </w:rPr>
            </w:pPr>
            <w:r>
              <w:rPr>
                <w:rFonts w:hint="default" w:ascii="Times New Roman" w:hAnsi="Times New Roman" w:cs="Times New Roman"/>
                <w:color w:val="auto"/>
              </w:rPr>
              <w:t>项目产品方案及生产规模详见下表。</w:t>
            </w:r>
          </w:p>
          <w:p w14:paraId="315375A3">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bCs/>
                <w:color w:val="auto"/>
                <w:kern w:val="0"/>
                <w:sz w:val="24"/>
                <w:szCs w:val="24"/>
                <w:lang w:val="en-US" w:eastAsia="zh-CN" w:bidi="ar"/>
              </w:rPr>
            </w:pPr>
            <w:r>
              <w:rPr>
                <w:rFonts w:hint="eastAsia" w:ascii="Times New Roman" w:hAnsi="Times New Roman" w:eastAsia="宋体" w:cs="Times New Roman"/>
                <w:b/>
                <w:color w:val="auto"/>
                <w:sz w:val="21"/>
                <w:szCs w:val="21"/>
                <w:highlight w:val="none"/>
                <w:lang w:val="en-US" w:eastAsia="zh-CN"/>
              </w:rPr>
              <w:t>表2-3  产品方案一览表</w:t>
            </w:r>
          </w:p>
          <w:tbl>
            <w:tblPr>
              <w:tblStyle w:val="45"/>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0"/>
              <w:gridCol w:w="1123"/>
              <w:gridCol w:w="870"/>
              <w:gridCol w:w="1320"/>
              <w:gridCol w:w="855"/>
              <w:gridCol w:w="3256"/>
            </w:tblGrid>
            <w:tr w14:paraId="19F7D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255" w:type="pct"/>
                  <w:noWrap/>
                  <w:vAlign w:val="center"/>
                </w:tcPr>
                <w:p w14:paraId="092F7FCC">
                  <w:pPr>
                    <w:pStyle w:val="30"/>
                    <w:rPr>
                      <w:rFonts w:hint="eastAsia" w:ascii="Times New Roman" w:hAnsi="Times New Roman" w:eastAsia="宋体" w:cs="Times New Roman"/>
                      <w:b/>
                      <w:bCs w:val="0"/>
                      <w:color w:val="auto"/>
                      <w:lang w:val="en-US" w:eastAsia="zh-CN"/>
                    </w:rPr>
                  </w:pPr>
                  <w:r>
                    <w:rPr>
                      <w:rFonts w:hint="eastAsia" w:ascii="Times New Roman" w:hAnsi="Times New Roman" w:eastAsia="宋体" w:cs="Times New Roman"/>
                      <w:b/>
                      <w:bCs w:val="0"/>
                      <w:color w:val="auto"/>
                      <w:lang w:val="en-US" w:eastAsia="zh-CN"/>
                    </w:rPr>
                    <w:t>序号</w:t>
                  </w:r>
                </w:p>
              </w:tc>
              <w:tc>
                <w:tcPr>
                  <w:tcW w:w="717" w:type="pct"/>
                  <w:noWrap/>
                  <w:vAlign w:val="center"/>
                </w:tcPr>
                <w:p w14:paraId="4BE191ED">
                  <w:pPr>
                    <w:pStyle w:val="30"/>
                    <w:rPr>
                      <w:rFonts w:hint="eastAsia" w:ascii="Times New Roman" w:hAnsi="Times New Roman" w:eastAsia="宋体" w:cs="Times New Roman"/>
                      <w:b/>
                      <w:bCs w:val="0"/>
                      <w:color w:val="auto"/>
                      <w:lang w:val="en-US" w:eastAsia="zh-CN"/>
                    </w:rPr>
                  </w:pPr>
                  <w:r>
                    <w:rPr>
                      <w:rFonts w:hint="eastAsia" w:ascii="Times New Roman" w:hAnsi="Times New Roman" w:eastAsia="宋体" w:cs="Times New Roman"/>
                      <w:b/>
                      <w:bCs w:val="0"/>
                      <w:color w:val="auto"/>
                      <w:lang w:val="en-US" w:eastAsia="zh-CN"/>
                    </w:rPr>
                    <w:t>产品名称</w:t>
                  </w:r>
                </w:p>
              </w:tc>
              <w:tc>
                <w:tcPr>
                  <w:tcW w:w="555" w:type="pct"/>
                  <w:tcBorders>
                    <w:right w:val="single" w:color="auto" w:sz="4" w:space="0"/>
                  </w:tcBorders>
                  <w:noWrap/>
                  <w:vAlign w:val="center"/>
                </w:tcPr>
                <w:p w14:paraId="4E7AD78B">
                  <w:pPr>
                    <w:pStyle w:val="30"/>
                    <w:rPr>
                      <w:rFonts w:hint="eastAsia" w:cs="Times New Roman"/>
                      <w:b/>
                      <w:bCs w:val="0"/>
                      <w:color w:val="auto"/>
                      <w:lang w:val="en-US" w:eastAsia="zh-CN"/>
                    </w:rPr>
                  </w:pPr>
                  <w:r>
                    <w:rPr>
                      <w:rFonts w:hint="eastAsia" w:cs="Times New Roman"/>
                      <w:b/>
                      <w:bCs w:val="0"/>
                      <w:color w:val="auto"/>
                      <w:lang w:val="en-US" w:eastAsia="zh-CN"/>
                    </w:rPr>
                    <w:t>数量（万只/年）</w:t>
                  </w:r>
                </w:p>
              </w:tc>
              <w:tc>
                <w:tcPr>
                  <w:tcW w:w="843" w:type="pct"/>
                  <w:tcBorders>
                    <w:right w:val="single" w:color="auto" w:sz="4" w:space="0"/>
                  </w:tcBorders>
                  <w:shd w:val="clear" w:color="auto" w:fill="auto"/>
                  <w:noWrap/>
                  <w:vAlign w:val="center"/>
                </w:tcPr>
                <w:p w14:paraId="029A623F">
                  <w:pPr>
                    <w:pStyle w:val="30"/>
                    <w:rPr>
                      <w:rFonts w:hint="eastAsia" w:ascii="Times New Roman" w:hAnsi="Times New Roman" w:eastAsia="宋体" w:cs="Times New Roman"/>
                      <w:b/>
                      <w:bCs w:val="0"/>
                      <w:color w:val="auto"/>
                      <w:lang w:val="en-US" w:eastAsia="zh-CN"/>
                    </w:rPr>
                  </w:pPr>
                  <w:r>
                    <w:rPr>
                      <w:rFonts w:hint="eastAsia" w:ascii="Times New Roman" w:hAnsi="Times New Roman" w:eastAsia="宋体" w:cs="Times New Roman"/>
                      <w:b/>
                      <w:bCs w:val="0"/>
                      <w:color w:val="auto"/>
                      <w:lang w:val="en-US" w:eastAsia="zh-CN"/>
                    </w:rPr>
                    <w:t>规格</w:t>
                  </w:r>
                </w:p>
              </w:tc>
              <w:tc>
                <w:tcPr>
                  <w:tcW w:w="546" w:type="pct"/>
                  <w:tcBorders>
                    <w:right w:val="single" w:color="auto" w:sz="4" w:space="0"/>
                  </w:tcBorders>
                  <w:shd w:val="clear" w:color="auto" w:fill="auto"/>
                  <w:noWrap/>
                  <w:vAlign w:val="center"/>
                </w:tcPr>
                <w:p w14:paraId="0A2F8DF2">
                  <w:pPr>
                    <w:pStyle w:val="30"/>
                    <w:rPr>
                      <w:rFonts w:hint="eastAsia" w:ascii="Times New Roman" w:hAnsi="Times New Roman" w:eastAsia="宋体" w:cs="Times New Roman"/>
                      <w:b/>
                      <w:bCs w:val="0"/>
                      <w:color w:val="auto"/>
                      <w:lang w:val="en-US" w:eastAsia="zh-CN"/>
                    </w:rPr>
                  </w:pPr>
                  <w:r>
                    <w:rPr>
                      <w:rFonts w:hint="eastAsia" w:ascii="Times New Roman" w:hAnsi="Times New Roman" w:eastAsia="宋体" w:cs="Times New Roman"/>
                      <w:b/>
                      <w:bCs w:val="0"/>
                      <w:color w:val="auto"/>
                      <w:lang w:val="en-US" w:eastAsia="zh-CN"/>
                    </w:rPr>
                    <w:t>单重（g/只）</w:t>
                  </w:r>
                </w:p>
              </w:tc>
              <w:tc>
                <w:tcPr>
                  <w:tcW w:w="2080" w:type="pct"/>
                  <w:tcBorders>
                    <w:right w:val="single" w:color="auto" w:sz="4" w:space="0"/>
                  </w:tcBorders>
                  <w:shd w:val="clear" w:color="auto" w:fill="auto"/>
                  <w:noWrap/>
                  <w:vAlign w:val="center"/>
                </w:tcPr>
                <w:p w14:paraId="0AB4E1E3">
                  <w:pPr>
                    <w:pStyle w:val="30"/>
                    <w:rPr>
                      <w:rFonts w:hint="eastAsia" w:ascii="Times New Roman" w:hAnsi="Times New Roman" w:eastAsia="宋体" w:cs="Times New Roman"/>
                      <w:b/>
                      <w:bCs w:val="0"/>
                      <w:color w:val="auto"/>
                      <w:lang w:val="en-US" w:eastAsia="zh-CN"/>
                    </w:rPr>
                  </w:pPr>
                  <w:r>
                    <w:rPr>
                      <w:rFonts w:hint="eastAsia" w:cs="Times New Roman"/>
                      <w:b/>
                      <w:bCs w:val="0"/>
                      <w:color w:val="auto"/>
                      <w:lang w:val="en-US" w:eastAsia="zh-CN"/>
                    </w:rPr>
                    <w:t>产品图片</w:t>
                  </w:r>
                </w:p>
              </w:tc>
            </w:tr>
            <w:tr w14:paraId="68125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55" w:type="pct"/>
                  <w:noWrap/>
                  <w:vAlign w:val="center"/>
                </w:tcPr>
                <w:p w14:paraId="2DBB1D92">
                  <w:pPr>
                    <w:pStyle w:val="3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p>
              </w:tc>
              <w:tc>
                <w:tcPr>
                  <w:tcW w:w="717" w:type="pct"/>
                  <w:noWrap/>
                  <w:vAlign w:val="center"/>
                </w:tcPr>
                <w:p w14:paraId="65C31429">
                  <w:pPr>
                    <w:pStyle w:val="66"/>
                    <w:adjustRightInd w:val="0"/>
                    <w:snapToGrid w:val="0"/>
                    <w:spacing w:line="240" w:lineRule="auto"/>
                    <w:ind w:firstLine="0" w:firstLineChars="0"/>
                    <w:rPr>
                      <w:rFonts w:hint="default" w:ascii="Times New Roman" w:hAnsi="Times New Roman" w:eastAsia="宋体" w:cs="宋体"/>
                      <w:bCs/>
                      <w:color w:val="auto"/>
                      <w:szCs w:val="21"/>
                      <w:lang w:val="en-US" w:eastAsia="zh-CN"/>
                    </w:rPr>
                  </w:pPr>
                  <w:r>
                    <w:rPr>
                      <w:rFonts w:hint="eastAsia" w:cs="宋体"/>
                      <w:bCs/>
                      <w:color w:val="auto"/>
                      <w:szCs w:val="21"/>
                      <w:lang w:val="en-US" w:eastAsia="zh-CN"/>
                    </w:rPr>
                    <w:t>保温容器塑料外壳</w:t>
                  </w:r>
                </w:p>
              </w:tc>
              <w:tc>
                <w:tcPr>
                  <w:tcW w:w="555" w:type="pct"/>
                  <w:tcBorders>
                    <w:bottom w:val="single" w:color="auto" w:sz="4" w:space="0"/>
                    <w:right w:val="single" w:color="auto" w:sz="4" w:space="0"/>
                  </w:tcBorders>
                  <w:noWrap/>
                  <w:vAlign w:val="center"/>
                </w:tcPr>
                <w:p w14:paraId="0DC2A529">
                  <w:pPr>
                    <w:pStyle w:val="30"/>
                    <w:rPr>
                      <w:rFonts w:hint="default" w:cs="Times New Roman"/>
                      <w:color w:val="auto"/>
                      <w:lang w:val="en-US" w:eastAsia="zh-CN"/>
                    </w:rPr>
                  </w:pPr>
                  <w:r>
                    <w:rPr>
                      <w:rFonts w:hint="eastAsia" w:cs="Times New Roman"/>
                      <w:color w:val="auto"/>
                      <w:lang w:val="en-US" w:eastAsia="zh-CN"/>
                    </w:rPr>
                    <w:t>300</w:t>
                  </w:r>
                </w:p>
              </w:tc>
              <w:tc>
                <w:tcPr>
                  <w:tcW w:w="843" w:type="pct"/>
                  <w:tcBorders>
                    <w:bottom w:val="single" w:color="auto" w:sz="4" w:space="0"/>
                    <w:right w:val="single" w:color="auto" w:sz="4" w:space="0"/>
                  </w:tcBorders>
                  <w:noWrap/>
                  <w:vAlign w:val="center"/>
                </w:tcPr>
                <w:p w14:paraId="3D2D817F">
                  <w:pPr>
                    <w:pStyle w:val="66"/>
                    <w:adjustRightInd w:val="0"/>
                    <w:snapToGrid w:val="0"/>
                    <w:spacing w:line="240" w:lineRule="auto"/>
                    <w:ind w:firstLine="0" w:firstLineChars="0"/>
                    <w:rPr>
                      <w:rFonts w:hint="eastAsia" w:cs="宋体"/>
                      <w:bCs/>
                      <w:color w:val="auto"/>
                      <w:szCs w:val="21"/>
                      <w:lang w:val="en-US" w:eastAsia="zh-CN"/>
                    </w:rPr>
                  </w:pPr>
                  <w:r>
                    <w:rPr>
                      <w:rFonts w:hint="eastAsia" w:cs="宋体"/>
                      <w:bCs/>
                      <w:color w:val="auto"/>
                      <w:szCs w:val="21"/>
                      <w:lang w:val="en-US" w:eastAsia="zh-CN"/>
                    </w:rPr>
                    <w:t>高40CM 直径13-15CM</w:t>
                  </w:r>
                </w:p>
              </w:tc>
              <w:tc>
                <w:tcPr>
                  <w:tcW w:w="546" w:type="pct"/>
                  <w:tcBorders>
                    <w:bottom w:val="single" w:color="auto" w:sz="4" w:space="0"/>
                    <w:right w:val="single" w:color="auto" w:sz="4" w:space="0"/>
                  </w:tcBorders>
                  <w:noWrap/>
                  <w:vAlign w:val="center"/>
                </w:tcPr>
                <w:p w14:paraId="3648B950">
                  <w:pPr>
                    <w:pStyle w:val="66"/>
                    <w:adjustRightInd w:val="0"/>
                    <w:snapToGrid w:val="0"/>
                    <w:spacing w:line="240" w:lineRule="auto"/>
                    <w:ind w:firstLine="0" w:firstLineChars="0"/>
                    <w:rPr>
                      <w:rFonts w:hint="default" w:cs="宋体"/>
                      <w:bCs/>
                      <w:color w:val="auto"/>
                      <w:szCs w:val="21"/>
                      <w:lang w:val="en-US" w:eastAsia="zh-CN"/>
                    </w:rPr>
                  </w:pPr>
                  <w:r>
                    <w:rPr>
                      <w:rFonts w:hint="eastAsia" w:cs="宋体"/>
                      <w:bCs/>
                      <w:color w:val="auto"/>
                      <w:szCs w:val="21"/>
                      <w:lang w:val="en-US" w:eastAsia="zh-CN"/>
                    </w:rPr>
                    <w:t>400</w:t>
                  </w:r>
                </w:p>
              </w:tc>
              <w:tc>
                <w:tcPr>
                  <w:tcW w:w="2080" w:type="pct"/>
                  <w:tcBorders>
                    <w:bottom w:val="single" w:color="auto" w:sz="4" w:space="0"/>
                    <w:right w:val="single" w:color="auto" w:sz="4" w:space="0"/>
                  </w:tcBorders>
                  <w:noWrap/>
                  <w:vAlign w:val="center"/>
                </w:tcPr>
                <w:p w14:paraId="2F712979">
                  <w:pPr>
                    <w:pStyle w:val="66"/>
                    <w:adjustRightInd w:val="0"/>
                    <w:snapToGrid w:val="0"/>
                    <w:spacing w:line="240" w:lineRule="auto"/>
                    <w:ind w:firstLine="0" w:firstLineChars="0"/>
                    <w:rPr>
                      <w:rFonts w:hint="eastAsia" w:cs="宋体"/>
                      <w:bCs/>
                      <w:color w:val="auto"/>
                      <w:szCs w:val="21"/>
                      <w:lang w:val="en-US" w:eastAsia="zh-CN"/>
                    </w:rPr>
                  </w:pPr>
                  <w:r>
                    <w:rPr>
                      <w:rFonts w:hint="eastAsia" w:cs="宋体"/>
                      <w:bCs/>
                      <w:color w:val="auto"/>
                      <w:szCs w:val="21"/>
                      <w:lang w:val="en-US" w:eastAsia="zh-CN"/>
                    </w:rPr>
                    <w:drawing>
                      <wp:inline distT="0" distB="0" distL="114300" distR="114300">
                        <wp:extent cx="2054860" cy="1539240"/>
                        <wp:effectExtent l="0" t="0" r="2540" b="3810"/>
                        <wp:docPr id="8" name="图片 8" descr="a8d0ecfbb82a73545400cd9b705fb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8d0ecfbb82a73545400cd9b705fbeac"/>
                                <pic:cNvPicPr>
                                  <a:picLocks noChangeAspect="1"/>
                                </pic:cNvPicPr>
                              </pic:nvPicPr>
                              <pic:blipFill>
                                <a:blip r:embed="rId20"/>
                                <a:stretch>
                                  <a:fillRect/>
                                </a:stretch>
                              </pic:blipFill>
                              <pic:spPr>
                                <a:xfrm>
                                  <a:off x="0" y="0"/>
                                  <a:ext cx="2054860" cy="1539240"/>
                                </a:xfrm>
                                <a:prstGeom prst="rect">
                                  <a:avLst/>
                                </a:prstGeom>
                              </pic:spPr>
                            </pic:pic>
                          </a:graphicData>
                        </a:graphic>
                      </wp:inline>
                    </w:drawing>
                  </w:r>
                </w:p>
              </w:tc>
            </w:tr>
          </w:tbl>
          <w:p w14:paraId="4E2AE7FB">
            <w:pPr>
              <w:keepNext/>
              <w:keepLines/>
              <w:pageBreakBefore w:val="0"/>
              <w:kinsoku/>
              <w:wordWrap/>
              <w:overflowPunct/>
              <w:topLinePunct w:val="0"/>
              <w:autoSpaceDE/>
              <w:autoSpaceDN/>
              <w:bidi w:val="0"/>
              <w:adjustRightInd/>
              <w:snapToGrid/>
              <w:spacing w:line="360" w:lineRule="auto"/>
              <w:ind w:firstLine="480" w:firstLineChars="200"/>
              <w:contextualSpacing/>
              <w:textAlignment w:val="auto"/>
              <w:rPr>
                <w:bCs/>
                <w:color w:val="auto"/>
                <w:sz w:val="24"/>
                <w:highlight w:val="none"/>
              </w:rPr>
            </w:pPr>
            <w:r>
              <w:rPr>
                <w:rFonts w:hint="eastAsia"/>
                <w:bCs/>
                <w:color w:val="auto"/>
                <w:sz w:val="24"/>
                <w:highlight w:val="none"/>
                <w:lang w:val="en-US" w:eastAsia="zh-CN"/>
              </w:rPr>
              <w:t>4</w:t>
            </w:r>
            <w:r>
              <w:rPr>
                <w:bCs/>
                <w:color w:val="auto"/>
                <w:sz w:val="24"/>
                <w:highlight w:val="none"/>
              </w:rPr>
              <w:t>、建设内容</w:t>
            </w:r>
          </w:p>
          <w:p w14:paraId="73EECEF6">
            <w:pPr>
              <w:pStyle w:val="11"/>
              <w:rPr>
                <w:b/>
                <w:color w:val="auto"/>
                <w:szCs w:val="21"/>
                <w:highlight w:val="none"/>
              </w:rPr>
            </w:pPr>
            <w:r>
              <w:rPr>
                <w:bCs/>
                <w:color w:val="auto"/>
                <w:sz w:val="24"/>
                <w:highlight w:val="none"/>
              </w:rPr>
              <w:t>本项目具体建设内容如下：</w:t>
            </w:r>
          </w:p>
          <w:p w14:paraId="2E88B91A">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表2-4  建设内容一览表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1"/>
              <w:gridCol w:w="1550"/>
              <w:gridCol w:w="2462"/>
              <w:gridCol w:w="3146"/>
            </w:tblGrid>
            <w:tr w14:paraId="5DB6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423" w:type="pct"/>
                  <w:shd w:val="clear" w:color="auto" w:fill="auto"/>
                  <w:vAlign w:val="center"/>
                </w:tcPr>
                <w:p w14:paraId="501E26CC">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rPr>
                  </w:pPr>
                  <w:r>
                    <w:rPr>
                      <w:rFonts w:hint="eastAsia" w:ascii="Times New Roman" w:hAnsi="Times New Roman" w:eastAsia="宋体" w:cs="宋体"/>
                      <w:b/>
                      <w:bCs w:val="0"/>
                      <w:color w:val="auto"/>
                      <w:szCs w:val="21"/>
                      <w:lang w:val="en-US" w:eastAsia="zh-CN"/>
                    </w:rPr>
                    <w:t>工程类别</w:t>
                  </w:r>
                </w:p>
              </w:tc>
              <w:tc>
                <w:tcPr>
                  <w:tcW w:w="991" w:type="pct"/>
                  <w:shd w:val="clear" w:color="auto" w:fill="auto"/>
                  <w:vAlign w:val="center"/>
                </w:tcPr>
                <w:p w14:paraId="6A0E149E">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rPr>
                  </w:pPr>
                  <w:r>
                    <w:rPr>
                      <w:rFonts w:hint="eastAsia" w:ascii="Times New Roman" w:hAnsi="Times New Roman" w:eastAsia="宋体" w:cs="宋体"/>
                      <w:b/>
                      <w:bCs w:val="0"/>
                      <w:color w:val="auto"/>
                      <w:szCs w:val="21"/>
                      <w:lang w:val="en-US" w:eastAsia="zh-CN"/>
                    </w:rPr>
                    <w:t>单项工程名称</w:t>
                  </w:r>
                </w:p>
              </w:tc>
              <w:tc>
                <w:tcPr>
                  <w:tcW w:w="3585" w:type="pct"/>
                  <w:gridSpan w:val="2"/>
                  <w:shd w:val="clear" w:color="auto" w:fill="auto"/>
                  <w:vAlign w:val="center"/>
                </w:tcPr>
                <w:p w14:paraId="27B44877">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rPr>
                  </w:pPr>
                  <w:r>
                    <w:rPr>
                      <w:rFonts w:hint="eastAsia" w:ascii="Times New Roman" w:hAnsi="Times New Roman" w:eastAsia="宋体" w:cs="宋体"/>
                      <w:b/>
                      <w:bCs w:val="0"/>
                      <w:color w:val="auto"/>
                      <w:szCs w:val="21"/>
                      <w:lang w:val="en-US" w:eastAsia="zh-CN"/>
                    </w:rPr>
                    <w:t>建设内容及规模</w:t>
                  </w:r>
                </w:p>
              </w:tc>
            </w:tr>
            <w:tr w14:paraId="77C7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restart"/>
                  <w:shd w:val="clear" w:color="auto" w:fill="auto"/>
                  <w:vAlign w:val="center"/>
                </w:tcPr>
                <w:p w14:paraId="604647A8">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r>
                    <w:rPr>
                      <w:rFonts w:hint="eastAsia" w:ascii="Times New Roman" w:hAnsi="Times New Roman" w:eastAsia="宋体" w:cs="宋体"/>
                      <w:bCs/>
                      <w:color w:val="auto"/>
                      <w:szCs w:val="21"/>
                      <w:lang w:val="en-US" w:eastAsia="zh-CN"/>
                    </w:rPr>
                    <w:t>主体工程</w:t>
                  </w:r>
                </w:p>
              </w:tc>
              <w:tc>
                <w:tcPr>
                  <w:tcW w:w="991" w:type="pct"/>
                  <w:shd w:val="clear" w:color="auto" w:fill="auto"/>
                  <w:vAlign w:val="center"/>
                </w:tcPr>
                <w:p w14:paraId="55C037F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cs="宋体"/>
                      <w:bCs/>
                      <w:color w:val="auto"/>
                      <w:szCs w:val="21"/>
                      <w:highlight w:val="none"/>
                      <w:lang w:val="en-US" w:eastAsia="zh-CN"/>
                    </w:rPr>
                    <w:t>1#车间</w:t>
                  </w:r>
                </w:p>
              </w:tc>
              <w:tc>
                <w:tcPr>
                  <w:tcW w:w="3585" w:type="pct"/>
                  <w:gridSpan w:val="2"/>
                  <w:shd w:val="clear" w:color="auto" w:fill="auto"/>
                  <w:vAlign w:val="center"/>
                </w:tcPr>
                <w:p w14:paraId="7C3592BD">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1#车间面积约1400</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r>
                    <w:rPr>
                      <w:rFonts w:hint="eastAsia" w:cs="宋体"/>
                      <w:bCs/>
                      <w:color w:val="auto"/>
                      <w:szCs w:val="21"/>
                      <w:highlight w:val="none"/>
                      <w:lang w:val="en-US" w:eastAsia="zh-CN"/>
                    </w:rPr>
                    <w:t>，主要为成品区</w:t>
                  </w:r>
                </w:p>
              </w:tc>
            </w:tr>
            <w:tr w14:paraId="4DD0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3FDA88B3">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shd w:val="clear" w:color="auto" w:fill="auto"/>
                  <w:vAlign w:val="center"/>
                </w:tcPr>
                <w:p w14:paraId="02F76083">
                  <w:pPr>
                    <w:pStyle w:val="66"/>
                    <w:adjustRightInd w:val="0"/>
                    <w:snapToGrid w:val="0"/>
                    <w:spacing w:line="240" w:lineRule="auto"/>
                    <w:ind w:firstLine="0" w:firstLineChars="0"/>
                    <w:jc w:val="center"/>
                    <w:rPr>
                      <w:rFonts w:hint="eastAsia" w:ascii="Times New Roman" w:hAnsi="Times New Roman" w:eastAsia="宋体" w:cs="宋体"/>
                      <w:bCs/>
                      <w:color w:val="auto"/>
                      <w:kern w:val="2"/>
                      <w:sz w:val="21"/>
                      <w:szCs w:val="21"/>
                      <w:highlight w:val="none"/>
                      <w:lang w:val="en-US" w:eastAsia="zh-CN" w:bidi="ar-SA"/>
                    </w:rPr>
                  </w:pPr>
                  <w:r>
                    <w:rPr>
                      <w:rFonts w:hint="eastAsia" w:cs="宋体"/>
                      <w:bCs/>
                      <w:color w:val="auto"/>
                      <w:szCs w:val="21"/>
                      <w:highlight w:val="none"/>
                      <w:lang w:val="en-US" w:eastAsia="zh-CN"/>
                    </w:rPr>
                    <w:t>2#车间</w:t>
                  </w:r>
                </w:p>
              </w:tc>
              <w:tc>
                <w:tcPr>
                  <w:tcW w:w="3585" w:type="pct"/>
                  <w:gridSpan w:val="2"/>
                  <w:shd w:val="clear" w:color="auto" w:fill="auto"/>
                  <w:vAlign w:val="center"/>
                </w:tcPr>
                <w:p w14:paraId="720AAA3A">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2#车间面积约1344</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r>
                    <w:rPr>
                      <w:rFonts w:hint="eastAsia" w:cs="宋体"/>
                      <w:bCs/>
                      <w:color w:val="auto"/>
                      <w:szCs w:val="21"/>
                      <w:highlight w:val="none"/>
                      <w:lang w:val="en-US" w:eastAsia="zh-CN"/>
                    </w:rPr>
                    <w:t>，主要为成品包装生产线、喷漆晾干房</w:t>
                  </w:r>
                </w:p>
              </w:tc>
            </w:tr>
            <w:tr w14:paraId="7DB1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515F0D46">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shd w:val="clear" w:color="auto" w:fill="auto"/>
                  <w:vAlign w:val="center"/>
                </w:tcPr>
                <w:p w14:paraId="074466A4">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3#车间</w:t>
                  </w:r>
                </w:p>
              </w:tc>
              <w:tc>
                <w:tcPr>
                  <w:tcW w:w="3585" w:type="pct"/>
                  <w:gridSpan w:val="2"/>
                  <w:shd w:val="clear" w:color="auto" w:fill="auto"/>
                  <w:vAlign w:val="center"/>
                </w:tcPr>
                <w:p w14:paraId="13DAC339">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3#车间面积约1000</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r>
                    <w:rPr>
                      <w:rFonts w:hint="eastAsia" w:cs="宋体"/>
                      <w:bCs/>
                      <w:color w:val="auto"/>
                      <w:szCs w:val="21"/>
                      <w:highlight w:val="none"/>
                      <w:lang w:val="en-US" w:eastAsia="zh-CN"/>
                    </w:rPr>
                    <w:t>，主要为注塑区</w:t>
                  </w:r>
                </w:p>
              </w:tc>
            </w:tr>
            <w:tr w14:paraId="1BB1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296EDD2F">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shd w:val="clear" w:color="auto" w:fill="auto"/>
                  <w:vAlign w:val="center"/>
                </w:tcPr>
                <w:p w14:paraId="23C183B2">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模具、修理车间</w:t>
                  </w:r>
                </w:p>
              </w:tc>
              <w:tc>
                <w:tcPr>
                  <w:tcW w:w="3585" w:type="pct"/>
                  <w:gridSpan w:val="2"/>
                  <w:shd w:val="clear" w:color="auto" w:fill="auto"/>
                  <w:vAlign w:val="center"/>
                </w:tcPr>
                <w:p w14:paraId="03E3C1C6">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面积约900</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r>
                    <w:rPr>
                      <w:rFonts w:hint="eastAsia" w:cs="宋体"/>
                      <w:bCs/>
                      <w:color w:val="auto"/>
                      <w:szCs w:val="21"/>
                      <w:highlight w:val="none"/>
                      <w:lang w:val="en-US" w:eastAsia="zh-CN"/>
                    </w:rPr>
                    <w:t>，主要为模具区与修理车间</w:t>
                  </w:r>
                </w:p>
              </w:tc>
            </w:tr>
            <w:tr w14:paraId="50EB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shd w:val="clear" w:color="auto" w:fill="auto"/>
                  <w:vAlign w:val="center"/>
                </w:tcPr>
                <w:p w14:paraId="5AD14D04">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r>
                    <w:rPr>
                      <w:rFonts w:hint="eastAsia" w:ascii="Times New Roman" w:hAnsi="Times New Roman" w:eastAsia="宋体" w:cs="宋体"/>
                      <w:bCs/>
                      <w:color w:val="auto"/>
                      <w:szCs w:val="21"/>
                      <w:lang w:val="en-US" w:eastAsia="zh-CN"/>
                    </w:rPr>
                    <w:t>辅助工程</w:t>
                  </w:r>
                </w:p>
              </w:tc>
              <w:tc>
                <w:tcPr>
                  <w:tcW w:w="991" w:type="pct"/>
                  <w:shd w:val="clear" w:color="auto" w:fill="auto"/>
                  <w:vAlign w:val="center"/>
                </w:tcPr>
                <w:p w14:paraId="2B76088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cs="宋体"/>
                      <w:bCs/>
                      <w:color w:val="auto"/>
                      <w:szCs w:val="21"/>
                      <w:highlight w:val="none"/>
                      <w:lang w:val="en-US" w:eastAsia="zh-CN"/>
                    </w:rPr>
                    <w:t>办公室</w:t>
                  </w:r>
                </w:p>
              </w:tc>
              <w:tc>
                <w:tcPr>
                  <w:tcW w:w="3585" w:type="pct"/>
                  <w:gridSpan w:val="2"/>
                  <w:shd w:val="clear" w:color="auto" w:fill="auto"/>
                  <w:vAlign w:val="center"/>
                </w:tcPr>
                <w:p w14:paraId="1F085A8D">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位于厂房东侧，主要用于人员办公</w:t>
                  </w:r>
                </w:p>
              </w:tc>
            </w:tr>
            <w:tr w14:paraId="34DF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restart"/>
                  <w:shd w:val="clear" w:color="auto" w:fill="auto"/>
                  <w:vAlign w:val="center"/>
                </w:tcPr>
                <w:p w14:paraId="038BCCC6">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r>
                    <w:rPr>
                      <w:rFonts w:hint="eastAsia" w:ascii="Times New Roman" w:hAnsi="Times New Roman" w:eastAsia="宋体" w:cs="宋体"/>
                      <w:bCs/>
                      <w:color w:val="auto"/>
                      <w:szCs w:val="21"/>
                      <w:lang w:val="en-US" w:eastAsia="zh-CN"/>
                    </w:rPr>
                    <w:t>储运工程</w:t>
                  </w:r>
                </w:p>
              </w:tc>
              <w:tc>
                <w:tcPr>
                  <w:tcW w:w="991" w:type="pct"/>
                  <w:shd w:val="clear" w:color="auto" w:fill="auto"/>
                  <w:vAlign w:val="center"/>
                </w:tcPr>
                <w:p w14:paraId="1BA2533C">
                  <w:pPr>
                    <w:pStyle w:val="66"/>
                    <w:adjustRightInd w:val="0"/>
                    <w:snapToGrid w:val="0"/>
                    <w:spacing w:line="240" w:lineRule="auto"/>
                    <w:ind w:firstLine="0" w:firstLineChars="0"/>
                    <w:jc w:val="center"/>
                    <w:rPr>
                      <w:rFonts w:hint="eastAsia" w:ascii="Times New Roman" w:hAnsi="Times New Roman" w:eastAsia="宋体" w:cs="宋体"/>
                      <w:bCs/>
                      <w:color w:val="auto"/>
                      <w:kern w:val="2"/>
                      <w:sz w:val="21"/>
                      <w:szCs w:val="21"/>
                      <w:lang w:val="en-US" w:eastAsia="zh-CN" w:bidi="ar-SA"/>
                    </w:rPr>
                  </w:pPr>
                  <w:r>
                    <w:rPr>
                      <w:rFonts w:hint="eastAsia" w:cs="宋体"/>
                      <w:bCs/>
                      <w:color w:val="auto"/>
                      <w:szCs w:val="21"/>
                      <w:lang w:eastAsia="zh-CN"/>
                    </w:rPr>
                    <w:t>半成品区</w:t>
                  </w:r>
                </w:p>
              </w:tc>
              <w:tc>
                <w:tcPr>
                  <w:tcW w:w="3585" w:type="pct"/>
                  <w:gridSpan w:val="2"/>
                  <w:shd w:val="clear" w:color="auto" w:fill="auto"/>
                  <w:vAlign w:val="center"/>
                </w:tcPr>
                <w:p w14:paraId="67DE1D9F">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位于厂房东侧，面积约120</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r>
                    <w:rPr>
                      <w:rFonts w:hint="eastAsia" w:cs="宋体"/>
                      <w:bCs/>
                      <w:color w:val="auto"/>
                      <w:szCs w:val="21"/>
                      <w:highlight w:val="none"/>
                      <w:lang w:val="en-US" w:eastAsia="zh-CN"/>
                    </w:rPr>
                    <w:t>，用于存放半成品</w:t>
                  </w:r>
                </w:p>
              </w:tc>
            </w:tr>
            <w:tr w14:paraId="1116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4F9BBC3E">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shd w:val="clear" w:color="auto" w:fill="auto"/>
                  <w:vAlign w:val="center"/>
                </w:tcPr>
                <w:p w14:paraId="535D6DB6">
                  <w:pPr>
                    <w:pStyle w:val="66"/>
                    <w:adjustRightInd w:val="0"/>
                    <w:snapToGrid w:val="0"/>
                    <w:spacing w:line="240" w:lineRule="auto"/>
                    <w:ind w:firstLine="0" w:firstLineChars="0"/>
                    <w:jc w:val="center"/>
                    <w:rPr>
                      <w:rFonts w:hint="eastAsia" w:cs="宋体"/>
                      <w:bCs/>
                      <w:color w:val="auto"/>
                      <w:szCs w:val="21"/>
                      <w:lang w:val="en-US" w:eastAsia="zh-CN"/>
                    </w:rPr>
                  </w:pPr>
                  <w:r>
                    <w:rPr>
                      <w:rFonts w:hint="eastAsia" w:cs="宋体"/>
                      <w:bCs/>
                      <w:color w:val="auto"/>
                      <w:szCs w:val="21"/>
                      <w:lang w:val="en-US" w:eastAsia="zh-CN"/>
                    </w:rPr>
                    <w:t>成品区</w:t>
                  </w:r>
                </w:p>
              </w:tc>
              <w:tc>
                <w:tcPr>
                  <w:tcW w:w="3585" w:type="pct"/>
                  <w:gridSpan w:val="2"/>
                  <w:shd w:val="clear" w:color="auto" w:fill="auto"/>
                  <w:vAlign w:val="center"/>
                </w:tcPr>
                <w:p w14:paraId="19384C65">
                  <w:pPr>
                    <w:pStyle w:val="66"/>
                    <w:adjustRightInd w:val="0"/>
                    <w:snapToGrid w:val="0"/>
                    <w:spacing w:line="240" w:lineRule="auto"/>
                    <w:ind w:firstLine="0" w:firstLineChars="0"/>
                    <w:jc w:val="center"/>
                    <w:rPr>
                      <w:rFonts w:hint="default" w:cs="宋体"/>
                      <w:bCs/>
                      <w:color w:val="auto"/>
                      <w:szCs w:val="21"/>
                      <w:highlight w:val="none"/>
                      <w:lang w:val="en-US" w:eastAsia="zh-CN"/>
                    </w:rPr>
                  </w:pPr>
                  <w:r>
                    <w:rPr>
                      <w:rFonts w:hint="eastAsia" w:cs="宋体"/>
                      <w:bCs/>
                      <w:color w:val="auto"/>
                      <w:szCs w:val="21"/>
                      <w:highlight w:val="none"/>
                      <w:lang w:val="en-US" w:eastAsia="zh-CN"/>
                    </w:rPr>
                    <w:t>位于1#车间，面积约1400</w:t>
                  </w:r>
                  <w:r>
                    <w:rPr>
                      <w:rFonts w:hint="eastAsia" w:ascii="Times New Roman" w:hAnsi="Times New Roman" w:eastAsia="宋体" w:cs="宋体"/>
                      <w:bCs/>
                      <w:color w:val="auto"/>
                      <w:szCs w:val="21"/>
                      <w:highlight w:val="none"/>
                      <w:lang w:val="en-US" w:eastAsia="zh-CN"/>
                    </w:rPr>
                    <w:t>m</w:t>
                  </w:r>
                  <w:r>
                    <w:rPr>
                      <w:rFonts w:hint="eastAsia" w:ascii="Times New Roman" w:hAnsi="Times New Roman" w:eastAsia="宋体" w:cs="宋体"/>
                      <w:bCs/>
                      <w:color w:val="auto"/>
                      <w:szCs w:val="21"/>
                      <w:highlight w:val="none"/>
                      <w:vertAlign w:val="superscript"/>
                      <w:lang w:val="en-US" w:eastAsia="zh-CN"/>
                    </w:rPr>
                    <w:t>2</w:t>
                  </w:r>
                </w:p>
              </w:tc>
            </w:tr>
            <w:tr w14:paraId="494B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restart"/>
                  <w:shd w:val="clear" w:color="auto" w:fill="auto"/>
                  <w:vAlign w:val="center"/>
                </w:tcPr>
                <w:p w14:paraId="2E679687">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r>
                    <w:rPr>
                      <w:rFonts w:hint="eastAsia" w:ascii="Times New Roman" w:hAnsi="Times New Roman" w:eastAsia="宋体" w:cs="宋体"/>
                      <w:bCs/>
                      <w:color w:val="auto"/>
                      <w:szCs w:val="21"/>
                      <w:lang w:val="en-US" w:eastAsia="zh-CN"/>
                    </w:rPr>
                    <w:t>公用工程</w:t>
                  </w:r>
                </w:p>
              </w:tc>
              <w:tc>
                <w:tcPr>
                  <w:tcW w:w="991" w:type="pct"/>
                  <w:shd w:val="clear" w:color="auto" w:fill="auto"/>
                  <w:vAlign w:val="center"/>
                </w:tcPr>
                <w:p w14:paraId="65C6F51C">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供水</w:t>
                  </w:r>
                </w:p>
              </w:tc>
              <w:tc>
                <w:tcPr>
                  <w:tcW w:w="3585" w:type="pct"/>
                  <w:gridSpan w:val="2"/>
                  <w:shd w:val="clear" w:color="auto" w:fill="auto"/>
                  <w:vAlign w:val="center"/>
                </w:tcPr>
                <w:p w14:paraId="285CEE51">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市政供水管网供给</w:t>
                  </w:r>
                </w:p>
              </w:tc>
            </w:tr>
            <w:tr w14:paraId="57E7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71BF85A2">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shd w:val="clear" w:color="auto" w:fill="auto"/>
                  <w:vAlign w:val="center"/>
                </w:tcPr>
                <w:p w14:paraId="20F2D4BB">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排水</w:t>
                  </w:r>
                </w:p>
              </w:tc>
              <w:tc>
                <w:tcPr>
                  <w:tcW w:w="3585" w:type="pct"/>
                  <w:gridSpan w:val="2"/>
                  <w:shd w:val="clear" w:color="auto" w:fill="auto"/>
                  <w:vAlign w:val="center"/>
                </w:tcPr>
                <w:p w14:paraId="61B110D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“雨污分流”，生活排污水经化粪池处理后进入厂区污水总排口，通过市政污水管网进入蚌埠市第二污水处理厂</w:t>
                  </w:r>
                </w:p>
              </w:tc>
            </w:tr>
            <w:tr w14:paraId="3849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62836835">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shd w:val="clear" w:color="auto" w:fill="auto"/>
                  <w:vAlign w:val="center"/>
                </w:tcPr>
                <w:p w14:paraId="1E93C14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供电</w:t>
                  </w:r>
                </w:p>
              </w:tc>
              <w:tc>
                <w:tcPr>
                  <w:tcW w:w="3585" w:type="pct"/>
                  <w:gridSpan w:val="2"/>
                  <w:shd w:val="clear" w:color="auto" w:fill="auto"/>
                  <w:vAlign w:val="center"/>
                </w:tcPr>
                <w:p w14:paraId="055E1402">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供电引自园区供电管网</w:t>
                  </w:r>
                </w:p>
              </w:tc>
            </w:tr>
            <w:tr w14:paraId="6FA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restart"/>
                  <w:shd w:val="clear" w:color="auto" w:fill="auto"/>
                  <w:vAlign w:val="center"/>
                </w:tcPr>
                <w:p w14:paraId="2B4787C9">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r>
                    <w:rPr>
                      <w:rFonts w:hint="eastAsia" w:ascii="Times New Roman" w:hAnsi="Times New Roman" w:eastAsia="宋体" w:cs="宋体"/>
                      <w:bCs/>
                      <w:color w:val="auto"/>
                      <w:szCs w:val="21"/>
                      <w:lang w:val="en-US" w:eastAsia="zh-CN"/>
                    </w:rPr>
                    <w:t>环保工程</w:t>
                  </w:r>
                </w:p>
              </w:tc>
              <w:tc>
                <w:tcPr>
                  <w:tcW w:w="991" w:type="pct"/>
                  <w:vMerge w:val="restart"/>
                  <w:shd w:val="clear" w:color="auto" w:fill="auto"/>
                  <w:vAlign w:val="center"/>
                </w:tcPr>
                <w:p w14:paraId="6C252B2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废气处理</w:t>
                  </w:r>
                </w:p>
              </w:tc>
              <w:tc>
                <w:tcPr>
                  <w:tcW w:w="1574" w:type="pct"/>
                  <w:shd w:val="clear" w:color="auto" w:fill="auto"/>
                  <w:vAlign w:val="center"/>
                </w:tcPr>
                <w:p w14:paraId="077AF4E0">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default" w:ascii="Times New Roman" w:hAnsi="Times New Roman" w:eastAsia="宋体" w:cs="宋体"/>
                      <w:bCs/>
                      <w:color w:val="auto"/>
                      <w:szCs w:val="21"/>
                      <w:highlight w:val="none"/>
                      <w:lang w:val="en-US" w:eastAsia="zh-CN"/>
                    </w:rPr>
                    <w:t>注塑废气由集气罩收集</w:t>
                  </w:r>
                </w:p>
              </w:tc>
              <w:tc>
                <w:tcPr>
                  <w:tcW w:w="2011" w:type="pct"/>
                  <w:vMerge w:val="restart"/>
                  <w:shd w:val="clear" w:color="auto" w:fill="auto"/>
                  <w:vAlign w:val="center"/>
                </w:tcPr>
                <w:p w14:paraId="48D0C95A">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经</w:t>
                  </w:r>
                  <w:r>
                    <w:rPr>
                      <w:rFonts w:hint="default" w:ascii="Times New Roman" w:hAnsi="Times New Roman" w:eastAsia="宋体" w:cs="宋体"/>
                      <w:bCs/>
                      <w:color w:val="auto"/>
                      <w:szCs w:val="21"/>
                      <w:highlight w:val="none"/>
                      <w:lang w:val="en-US" w:eastAsia="zh-CN"/>
                    </w:rPr>
                    <w:t>二级活性炭吸附装置</w:t>
                  </w:r>
                  <w:r>
                    <w:rPr>
                      <w:rFonts w:hint="eastAsia" w:cs="宋体"/>
                      <w:bCs/>
                      <w:color w:val="auto"/>
                      <w:szCs w:val="21"/>
                      <w:highlight w:val="none"/>
                      <w:lang w:val="en-US" w:eastAsia="zh-CN"/>
                    </w:rPr>
                    <w:t>+</w:t>
                  </w:r>
                  <w:r>
                    <w:rPr>
                      <w:rFonts w:hint="default" w:ascii="Times New Roman" w:hAnsi="Times New Roman" w:eastAsia="宋体" w:cs="宋体"/>
                      <w:bCs/>
                      <w:color w:val="auto"/>
                      <w:szCs w:val="21"/>
                      <w:highlight w:val="none"/>
                      <w:lang w:val="en-US" w:eastAsia="zh-CN"/>
                    </w:rPr>
                    <w:t>15m高排气筒（DA001）排放</w:t>
                  </w:r>
                </w:p>
              </w:tc>
            </w:tr>
            <w:tr w14:paraId="04A2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423" w:type="pct"/>
                  <w:vMerge w:val="continue"/>
                  <w:shd w:val="clear" w:color="auto" w:fill="auto"/>
                  <w:vAlign w:val="center"/>
                </w:tcPr>
                <w:p w14:paraId="519F1A91">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vMerge w:val="continue"/>
                  <w:shd w:val="clear" w:color="auto" w:fill="auto"/>
                  <w:vAlign w:val="center"/>
                </w:tcPr>
                <w:p w14:paraId="3C620E01">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p>
              </w:tc>
              <w:tc>
                <w:tcPr>
                  <w:tcW w:w="1574" w:type="pct"/>
                  <w:shd w:val="clear" w:color="auto" w:fill="auto"/>
                  <w:vAlign w:val="center"/>
                </w:tcPr>
                <w:p w14:paraId="33B1E744">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喷漆晾干废气</w:t>
                  </w:r>
                  <w:r>
                    <w:rPr>
                      <w:rFonts w:hint="default" w:ascii="Times New Roman" w:hAnsi="Times New Roman" w:eastAsia="宋体" w:cs="宋体"/>
                      <w:bCs/>
                      <w:color w:val="auto"/>
                      <w:szCs w:val="21"/>
                      <w:highlight w:val="none"/>
                      <w:lang w:val="en-US" w:eastAsia="zh-CN"/>
                    </w:rPr>
                    <w:t>经</w:t>
                  </w:r>
                  <w:r>
                    <w:rPr>
                      <w:rFonts w:hint="eastAsia" w:cs="宋体"/>
                      <w:bCs/>
                      <w:color w:val="auto"/>
                      <w:szCs w:val="21"/>
                      <w:highlight w:val="none"/>
                      <w:lang w:val="en-US" w:eastAsia="zh-CN"/>
                    </w:rPr>
                    <w:t>过滤棉处理</w:t>
                  </w:r>
                </w:p>
              </w:tc>
              <w:tc>
                <w:tcPr>
                  <w:tcW w:w="2011" w:type="pct"/>
                  <w:vMerge w:val="continue"/>
                  <w:shd w:val="clear" w:color="auto" w:fill="auto"/>
                  <w:vAlign w:val="center"/>
                </w:tcPr>
                <w:p w14:paraId="5E2DFE1E">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p>
              </w:tc>
            </w:tr>
            <w:tr w14:paraId="296D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23" w:type="pct"/>
                  <w:vMerge w:val="continue"/>
                  <w:shd w:val="clear" w:color="auto" w:fill="auto"/>
                  <w:vAlign w:val="center"/>
                </w:tcPr>
                <w:p w14:paraId="24AF913D">
                  <w:pPr>
                    <w:pStyle w:val="66"/>
                    <w:adjustRightInd w:val="0"/>
                    <w:snapToGrid w:val="0"/>
                    <w:spacing w:line="240" w:lineRule="auto"/>
                    <w:ind w:firstLine="0" w:firstLineChars="0"/>
                    <w:jc w:val="center"/>
                    <w:rPr>
                      <w:rFonts w:hint="eastAsia" w:ascii="Times New Roman" w:hAnsi="Times New Roman" w:eastAsia="宋体" w:cs="宋体"/>
                      <w:bCs/>
                      <w:color w:val="auto"/>
                      <w:szCs w:val="21"/>
                      <w:lang w:val="en-US" w:eastAsia="zh-CN"/>
                    </w:rPr>
                  </w:pPr>
                </w:p>
              </w:tc>
              <w:tc>
                <w:tcPr>
                  <w:tcW w:w="991" w:type="pct"/>
                  <w:vMerge w:val="continue"/>
                  <w:shd w:val="clear" w:color="auto" w:fill="auto"/>
                  <w:vAlign w:val="center"/>
                </w:tcPr>
                <w:p w14:paraId="08C20E90">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p>
              </w:tc>
              <w:tc>
                <w:tcPr>
                  <w:tcW w:w="3585" w:type="pct"/>
                  <w:gridSpan w:val="2"/>
                  <w:shd w:val="clear" w:color="auto" w:fill="auto"/>
                  <w:vAlign w:val="center"/>
                </w:tcPr>
                <w:p w14:paraId="1E35E172">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破碎废气经集气罩+布袋除尘器+</w:t>
                  </w:r>
                  <w:r>
                    <w:rPr>
                      <w:rFonts w:hint="default" w:ascii="Times New Roman" w:hAnsi="Times New Roman" w:eastAsia="宋体" w:cs="宋体"/>
                      <w:bCs/>
                      <w:color w:val="auto"/>
                      <w:szCs w:val="21"/>
                      <w:highlight w:val="none"/>
                      <w:lang w:val="en-US" w:eastAsia="zh-CN"/>
                    </w:rPr>
                    <w:t>15m高排气筒（DA00</w:t>
                  </w:r>
                  <w:r>
                    <w:rPr>
                      <w:rFonts w:hint="eastAsia" w:cs="宋体"/>
                      <w:bCs/>
                      <w:color w:val="auto"/>
                      <w:szCs w:val="21"/>
                      <w:highlight w:val="none"/>
                      <w:lang w:val="en-US" w:eastAsia="zh-CN"/>
                    </w:rPr>
                    <w:t>2</w:t>
                  </w:r>
                  <w:r>
                    <w:rPr>
                      <w:rFonts w:hint="default" w:ascii="Times New Roman" w:hAnsi="Times New Roman" w:eastAsia="宋体" w:cs="宋体"/>
                      <w:bCs/>
                      <w:color w:val="auto"/>
                      <w:szCs w:val="21"/>
                      <w:highlight w:val="none"/>
                      <w:lang w:val="en-US" w:eastAsia="zh-CN"/>
                    </w:rPr>
                    <w:t>）排放</w:t>
                  </w:r>
                </w:p>
              </w:tc>
            </w:tr>
            <w:tr w14:paraId="1245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506E66E0">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shd w:val="clear" w:color="auto" w:fill="auto"/>
                  <w:vAlign w:val="center"/>
                </w:tcPr>
                <w:p w14:paraId="35ACBC63">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废水处理</w:t>
                  </w:r>
                </w:p>
              </w:tc>
              <w:tc>
                <w:tcPr>
                  <w:tcW w:w="3585" w:type="pct"/>
                  <w:gridSpan w:val="2"/>
                  <w:shd w:val="clear" w:color="auto" w:fill="auto"/>
                  <w:vAlign w:val="center"/>
                </w:tcPr>
                <w:p w14:paraId="6BBAB4B6">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cs="宋体"/>
                      <w:bCs/>
                      <w:color w:val="auto"/>
                      <w:szCs w:val="21"/>
                      <w:highlight w:val="none"/>
                      <w:lang w:val="en-US" w:eastAsia="zh-CN"/>
                    </w:rPr>
                    <w:t>生活污水</w:t>
                  </w:r>
                  <w:r>
                    <w:rPr>
                      <w:rFonts w:hint="eastAsia" w:ascii="Times New Roman" w:hAnsi="Times New Roman" w:eastAsia="宋体" w:cs="宋体"/>
                      <w:bCs/>
                      <w:color w:val="auto"/>
                      <w:szCs w:val="21"/>
                      <w:highlight w:val="none"/>
                      <w:lang w:val="en-US" w:eastAsia="zh-CN"/>
                    </w:rPr>
                    <w:t>经化粪池处理后</w:t>
                  </w:r>
                  <w:r>
                    <w:rPr>
                      <w:rFonts w:hint="eastAsia" w:cs="宋体"/>
                      <w:bCs/>
                      <w:color w:val="auto"/>
                      <w:szCs w:val="21"/>
                      <w:highlight w:val="none"/>
                      <w:lang w:val="en-US" w:eastAsia="zh-CN"/>
                    </w:rPr>
                    <w:t>与循环冷却水进入厂区污水总排口，</w:t>
                  </w:r>
                  <w:r>
                    <w:rPr>
                      <w:rFonts w:hint="eastAsia" w:ascii="Times New Roman" w:hAnsi="Times New Roman" w:eastAsia="宋体" w:cs="宋体"/>
                      <w:bCs/>
                      <w:color w:val="auto"/>
                      <w:szCs w:val="21"/>
                      <w:highlight w:val="none"/>
                      <w:lang w:val="en-US" w:eastAsia="zh-CN"/>
                    </w:rPr>
                    <w:t>通过市政污水管网进入蚌埠市第二污水处理厂</w:t>
                  </w:r>
                </w:p>
              </w:tc>
            </w:tr>
            <w:tr w14:paraId="6156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423" w:type="pct"/>
                  <w:vMerge w:val="continue"/>
                  <w:shd w:val="clear" w:color="auto" w:fill="auto"/>
                  <w:vAlign w:val="center"/>
                </w:tcPr>
                <w:p w14:paraId="78E43F7D">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shd w:val="clear" w:color="auto" w:fill="auto"/>
                  <w:vAlign w:val="center"/>
                </w:tcPr>
                <w:p w14:paraId="79879B71">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噪声处理</w:t>
                  </w:r>
                </w:p>
              </w:tc>
              <w:tc>
                <w:tcPr>
                  <w:tcW w:w="3585" w:type="pct"/>
                  <w:gridSpan w:val="2"/>
                  <w:shd w:val="clear" w:color="auto" w:fill="auto"/>
                  <w:vAlign w:val="center"/>
                </w:tcPr>
                <w:p w14:paraId="56037940">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低噪声设备，吸声、隔声、减振等措施</w:t>
                  </w:r>
                </w:p>
              </w:tc>
            </w:tr>
            <w:tr w14:paraId="7853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221C336D">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vMerge w:val="restart"/>
                  <w:shd w:val="clear" w:color="auto" w:fill="auto"/>
                  <w:vAlign w:val="center"/>
                </w:tcPr>
                <w:p w14:paraId="0D348E22">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固废处理</w:t>
                  </w:r>
                </w:p>
              </w:tc>
              <w:tc>
                <w:tcPr>
                  <w:tcW w:w="3585" w:type="pct"/>
                  <w:gridSpan w:val="2"/>
                  <w:shd w:val="clear" w:color="auto" w:fill="auto"/>
                  <w:vAlign w:val="center"/>
                </w:tcPr>
                <w:p w14:paraId="60D6D6B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生活垃圾由环卫部门</w:t>
                  </w:r>
                  <w:r>
                    <w:rPr>
                      <w:rFonts w:hint="eastAsia" w:cs="宋体"/>
                      <w:bCs/>
                      <w:color w:val="auto"/>
                      <w:szCs w:val="21"/>
                      <w:highlight w:val="none"/>
                      <w:lang w:val="en-US" w:eastAsia="zh-CN"/>
                    </w:rPr>
                    <w:t>统一清运</w:t>
                  </w:r>
                </w:p>
              </w:tc>
            </w:tr>
            <w:tr w14:paraId="3B22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4870BFEC">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vMerge w:val="continue"/>
                  <w:shd w:val="clear" w:color="auto" w:fill="auto"/>
                  <w:vAlign w:val="center"/>
                </w:tcPr>
                <w:p w14:paraId="3651796C">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p>
              </w:tc>
              <w:tc>
                <w:tcPr>
                  <w:tcW w:w="3585" w:type="pct"/>
                  <w:gridSpan w:val="2"/>
                  <w:shd w:val="clear" w:color="auto" w:fill="auto"/>
                  <w:vAlign w:val="center"/>
                </w:tcPr>
                <w:p w14:paraId="18A7FE8C">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设置一般固废库一座，位于厂房西侧，占地面积200m</w:t>
                  </w:r>
                  <w:r>
                    <w:rPr>
                      <w:rFonts w:hint="eastAsia" w:ascii="Times New Roman" w:hAnsi="Times New Roman" w:eastAsia="宋体" w:cs="宋体"/>
                      <w:bCs/>
                      <w:color w:val="auto"/>
                      <w:szCs w:val="21"/>
                      <w:highlight w:val="none"/>
                      <w:vertAlign w:val="superscript"/>
                      <w:lang w:val="en-US" w:eastAsia="zh-CN"/>
                    </w:rPr>
                    <w:t>2</w:t>
                  </w:r>
                </w:p>
              </w:tc>
            </w:tr>
            <w:tr w14:paraId="13B4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4AB88B53">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vMerge w:val="continue"/>
                  <w:shd w:val="clear" w:color="auto" w:fill="auto"/>
                  <w:vAlign w:val="center"/>
                </w:tcPr>
                <w:p w14:paraId="202D99E0">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rPr>
                  </w:pPr>
                </w:p>
              </w:tc>
              <w:tc>
                <w:tcPr>
                  <w:tcW w:w="3585" w:type="pct"/>
                  <w:gridSpan w:val="2"/>
                  <w:shd w:val="clear" w:color="auto" w:fill="auto"/>
                  <w:vAlign w:val="center"/>
                </w:tcPr>
                <w:p w14:paraId="6D75C179">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设置危废库一座，位于厂房西侧，占地面积30m</w:t>
                  </w:r>
                  <w:r>
                    <w:rPr>
                      <w:rFonts w:hint="eastAsia" w:ascii="Times New Roman" w:hAnsi="Times New Roman" w:eastAsia="宋体" w:cs="宋体"/>
                      <w:bCs/>
                      <w:color w:val="auto"/>
                      <w:szCs w:val="21"/>
                      <w:highlight w:val="none"/>
                      <w:vertAlign w:val="superscript"/>
                      <w:lang w:val="en-US" w:eastAsia="zh-CN"/>
                    </w:rPr>
                    <w:t>2</w:t>
                  </w:r>
                  <w:r>
                    <w:rPr>
                      <w:rFonts w:hint="eastAsia" w:ascii="Times New Roman" w:hAnsi="Times New Roman" w:eastAsia="宋体" w:cs="宋体"/>
                      <w:bCs/>
                      <w:color w:val="auto"/>
                      <w:szCs w:val="21"/>
                      <w:highlight w:val="none"/>
                      <w:lang w:val="en-US" w:eastAsia="zh-CN"/>
                    </w:rPr>
                    <w:t>。危险废物由有资质单位处置</w:t>
                  </w:r>
                </w:p>
              </w:tc>
            </w:tr>
            <w:tr w14:paraId="00CA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Merge w:val="continue"/>
                  <w:shd w:val="clear" w:color="auto" w:fill="auto"/>
                  <w:vAlign w:val="center"/>
                </w:tcPr>
                <w:p w14:paraId="14BA3479">
                  <w:pPr>
                    <w:pStyle w:val="66"/>
                    <w:adjustRightInd w:val="0"/>
                    <w:snapToGrid w:val="0"/>
                    <w:spacing w:line="240" w:lineRule="auto"/>
                    <w:ind w:firstLine="0" w:firstLineChars="0"/>
                    <w:jc w:val="center"/>
                    <w:rPr>
                      <w:rFonts w:hint="eastAsia" w:ascii="Times New Roman" w:hAnsi="Times New Roman" w:eastAsia="宋体" w:cs="宋体"/>
                      <w:bCs/>
                      <w:color w:val="auto"/>
                      <w:szCs w:val="21"/>
                    </w:rPr>
                  </w:pPr>
                </w:p>
              </w:tc>
              <w:tc>
                <w:tcPr>
                  <w:tcW w:w="991" w:type="pct"/>
                  <w:shd w:val="clear" w:color="auto" w:fill="auto"/>
                  <w:vAlign w:val="center"/>
                </w:tcPr>
                <w:p w14:paraId="083A2CC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环境风险防范措施</w:t>
                  </w:r>
                </w:p>
              </w:tc>
              <w:tc>
                <w:tcPr>
                  <w:tcW w:w="3585" w:type="pct"/>
                  <w:gridSpan w:val="2"/>
                  <w:shd w:val="clear" w:color="auto" w:fill="auto"/>
                  <w:vAlign w:val="center"/>
                </w:tcPr>
                <w:p w14:paraId="7A6CF340">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分区防渗、</w:t>
                  </w:r>
                  <w:r>
                    <w:rPr>
                      <w:rFonts w:hint="eastAsia" w:cs="宋体"/>
                      <w:bCs/>
                      <w:color w:val="auto"/>
                      <w:szCs w:val="21"/>
                      <w:highlight w:val="none"/>
                      <w:lang w:val="en-US" w:eastAsia="zh-CN"/>
                    </w:rPr>
                    <w:t>配备应急物资</w:t>
                  </w:r>
                </w:p>
              </w:tc>
            </w:tr>
          </w:tbl>
          <w:p w14:paraId="75D5B01B">
            <w:pPr>
              <w:keepNext/>
              <w:keepLines/>
              <w:pageBreakBefore w:val="0"/>
              <w:kinsoku/>
              <w:wordWrap/>
              <w:overflowPunct/>
              <w:topLinePunct w:val="0"/>
              <w:bidi w:val="0"/>
              <w:spacing w:line="360" w:lineRule="auto"/>
              <w:ind w:firstLine="480" w:firstLineChars="200"/>
              <w:contextualSpacing/>
              <w:textAlignment w:val="auto"/>
              <w:rPr>
                <w:bCs/>
                <w:color w:val="auto"/>
                <w:sz w:val="24"/>
                <w:highlight w:val="none"/>
              </w:rPr>
            </w:pPr>
            <w:r>
              <w:rPr>
                <w:rFonts w:hint="eastAsia"/>
                <w:bCs/>
                <w:color w:val="auto"/>
                <w:sz w:val="24"/>
                <w:highlight w:val="none"/>
                <w:lang w:val="en-US" w:eastAsia="zh-CN"/>
              </w:rPr>
              <w:t>5</w:t>
            </w:r>
            <w:r>
              <w:rPr>
                <w:bCs/>
                <w:color w:val="auto"/>
                <w:sz w:val="24"/>
                <w:highlight w:val="none"/>
              </w:rPr>
              <w:t>、主要设备</w:t>
            </w:r>
          </w:p>
          <w:p w14:paraId="39F792FB">
            <w:pPr>
              <w:keepNext/>
              <w:keepLines/>
              <w:pageBreakBefore w:val="0"/>
              <w:kinsoku/>
              <w:wordWrap/>
              <w:overflowPunct/>
              <w:topLinePunct w:val="0"/>
              <w:bidi w:val="0"/>
              <w:spacing w:line="360" w:lineRule="auto"/>
              <w:ind w:firstLine="480" w:firstLineChars="200"/>
              <w:contextualSpacing/>
              <w:textAlignment w:val="auto"/>
              <w:rPr>
                <w:bCs/>
                <w:color w:val="auto"/>
                <w:sz w:val="24"/>
                <w:highlight w:val="none"/>
              </w:rPr>
            </w:pPr>
            <w:r>
              <w:rPr>
                <w:bCs/>
                <w:color w:val="auto"/>
                <w:sz w:val="24"/>
                <w:highlight w:val="none"/>
              </w:rPr>
              <w:t>本项目主要设备如下表所示。</w:t>
            </w:r>
          </w:p>
          <w:p w14:paraId="7DC7D792">
            <w:pPr>
              <w:keepNext/>
              <w:keepLines/>
              <w:pageBreakBefore w:val="0"/>
              <w:kinsoku/>
              <w:wordWrap/>
              <w:overflowPunct/>
              <w:topLinePunct w:val="0"/>
              <w:bidi w:val="0"/>
              <w:spacing w:line="240" w:lineRule="auto"/>
              <w:ind w:firstLine="0" w:firstLineChars="0"/>
              <w:contextualSpacing/>
              <w:jc w:val="center"/>
              <w:textAlignment w:val="auto"/>
              <w:rPr>
                <w:rFonts w:hint="default"/>
                <w:color w:val="auto"/>
              </w:rPr>
            </w:pPr>
            <w:r>
              <w:rPr>
                <w:rFonts w:ascii="Times New Roman" w:hAnsi="Times New Roman" w:eastAsia="宋体" w:cs="Times New Roman"/>
                <w:b/>
                <w:color w:val="auto"/>
                <w:sz w:val="21"/>
                <w:szCs w:val="21"/>
                <w:highlight w:val="none"/>
              </w:rPr>
              <w:t>表2-</w:t>
            </w:r>
            <w:r>
              <w:rPr>
                <w:rFonts w:hint="eastAsia" w:ascii="Times New Roman" w:hAnsi="Times New Roman" w:eastAsia="宋体" w:cs="Times New Roman"/>
                <w:b/>
                <w:color w:val="auto"/>
                <w:sz w:val="21"/>
                <w:szCs w:val="21"/>
                <w:highlight w:val="none"/>
                <w:lang w:val="en-US" w:eastAsia="zh-CN"/>
              </w:rPr>
              <w:t xml:space="preserve">5  </w:t>
            </w:r>
            <w:r>
              <w:rPr>
                <w:rFonts w:ascii="Times New Roman" w:hAnsi="Times New Roman" w:eastAsia="宋体" w:cs="Times New Roman"/>
                <w:b/>
                <w:color w:val="auto"/>
                <w:sz w:val="21"/>
                <w:szCs w:val="21"/>
                <w:highlight w:val="none"/>
              </w:rPr>
              <w:t>主要设备一览表</w:t>
            </w:r>
          </w:p>
          <w:tbl>
            <w:tblPr>
              <w:tblStyle w:val="2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9"/>
              <w:gridCol w:w="2663"/>
              <w:gridCol w:w="2672"/>
              <w:gridCol w:w="1515"/>
            </w:tblGrid>
            <w:tr w14:paraId="5EB5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B7E4">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序号</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88CC1">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设备名称</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A2F0B">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型号</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3F442">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数量(台)</w:t>
                  </w:r>
                </w:p>
              </w:tc>
            </w:tr>
            <w:tr w14:paraId="618B7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0D5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E7FD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注塑机</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6A297">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HST 1300</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C5FE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5</w:t>
                  </w:r>
                </w:p>
              </w:tc>
            </w:tr>
            <w:tr w14:paraId="04CAD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B5669">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2</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CFED8">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混料机</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793D">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STH-50</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09B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w:t>
                  </w:r>
                </w:p>
              </w:tc>
            </w:tr>
            <w:tr w14:paraId="7D5CD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A33B2">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3</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F5E38">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循环水箱</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34AF1">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10m</w:t>
                  </w:r>
                  <w:r>
                    <w:rPr>
                      <w:rFonts w:hint="eastAsia" w:ascii="Times New Roman" w:hAnsi="Times New Roman" w:eastAsia="宋体" w:cs="宋体"/>
                      <w:bCs/>
                      <w:color w:val="auto"/>
                      <w:szCs w:val="21"/>
                      <w:highlight w:val="none"/>
                      <w:vertAlign w:val="superscript"/>
                      <w:lang w:val="en-US" w:eastAsia="zh-CN"/>
                    </w:rPr>
                    <w:t>3</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14A3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w:t>
                  </w:r>
                </w:p>
              </w:tc>
            </w:tr>
            <w:tr w14:paraId="7D78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B4552">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5</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7F02B">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喷漆晾干房</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75082">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喷漆房4*5*3m；晾干房12*5*3m</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AA65E">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1</w:t>
                  </w:r>
                </w:p>
              </w:tc>
            </w:tr>
            <w:tr w14:paraId="0FB52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97C42">
                  <w:pPr>
                    <w:pStyle w:val="66"/>
                    <w:adjustRightInd w:val="0"/>
                    <w:snapToGrid w:val="0"/>
                    <w:spacing w:line="240" w:lineRule="auto"/>
                    <w:ind w:firstLine="0" w:firstLineChars="0"/>
                    <w:jc w:val="center"/>
                    <w:rPr>
                      <w:rFonts w:hint="default" w:cs="宋体"/>
                      <w:bCs/>
                      <w:color w:val="auto"/>
                      <w:szCs w:val="21"/>
                      <w:highlight w:val="none"/>
                      <w:lang w:val="en-US" w:eastAsia="zh-CN"/>
                    </w:rPr>
                  </w:pPr>
                  <w:r>
                    <w:rPr>
                      <w:rFonts w:hint="eastAsia" w:cs="宋体"/>
                      <w:bCs/>
                      <w:color w:val="auto"/>
                      <w:szCs w:val="21"/>
                      <w:highlight w:val="none"/>
                      <w:lang w:val="en-US" w:eastAsia="zh-CN"/>
                    </w:rPr>
                    <w:t>6</w:t>
                  </w:r>
                </w:p>
              </w:tc>
              <w:tc>
                <w:tcPr>
                  <w:tcW w:w="1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C026F">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破碎机</w:t>
                  </w:r>
                </w:p>
              </w:tc>
              <w:tc>
                <w:tcPr>
                  <w:tcW w:w="1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A9959">
                  <w:pPr>
                    <w:pStyle w:val="66"/>
                    <w:adjustRightInd w:val="0"/>
                    <w:snapToGrid w:val="0"/>
                    <w:spacing w:line="240" w:lineRule="auto"/>
                    <w:ind w:firstLine="0" w:firstLineChars="0"/>
                    <w:jc w:val="center"/>
                    <w:rPr>
                      <w:rFonts w:hint="default" w:cs="宋体"/>
                      <w:bCs/>
                      <w:color w:val="auto"/>
                      <w:szCs w:val="21"/>
                      <w:highlight w:val="none"/>
                      <w:lang w:val="en-US" w:eastAsia="zh-CN"/>
                    </w:rPr>
                  </w:pPr>
                  <w:r>
                    <w:rPr>
                      <w:rFonts w:hint="eastAsia" w:cs="宋体"/>
                      <w:bCs/>
                      <w:color w:val="auto"/>
                      <w:szCs w:val="21"/>
                      <w:highlight w:val="none"/>
                      <w:lang w:val="en-US" w:eastAsia="zh-CN"/>
                    </w:rPr>
                    <w:t>/</w:t>
                  </w:r>
                </w:p>
              </w:tc>
              <w:tc>
                <w:tcPr>
                  <w:tcW w:w="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D4CEA">
                  <w:pPr>
                    <w:pStyle w:val="66"/>
                    <w:adjustRightInd w:val="0"/>
                    <w:snapToGrid w:val="0"/>
                    <w:spacing w:line="240" w:lineRule="auto"/>
                    <w:ind w:firstLine="0" w:firstLineChars="0"/>
                    <w:jc w:val="center"/>
                    <w:rPr>
                      <w:rFonts w:hint="default" w:cs="宋体"/>
                      <w:bCs/>
                      <w:color w:val="auto"/>
                      <w:szCs w:val="21"/>
                      <w:highlight w:val="none"/>
                      <w:lang w:val="en-US" w:eastAsia="zh-CN"/>
                    </w:rPr>
                  </w:pPr>
                  <w:r>
                    <w:rPr>
                      <w:rFonts w:hint="eastAsia" w:cs="宋体"/>
                      <w:bCs/>
                      <w:color w:val="auto"/>
                      <w:szCs w:val="21"/>
                      <w:highlight w:val="none"/>
                      <w:lang w:val="en-US" w:eastAsia="zh-CN"/>
                    </w:rPr>
                    <w:t>1</w:t>
                  </w:r>
                </w:p>
              </w:tc>
            </w:tr>
          </w:tbl>
          <w:p w14:paraId="047F207A">
            <w:pPr>
              <w:keepNext/>
              <w:keepLines/>
              <w:pageBreakBefore w:val="0"/>
              <w:numPr>
                <w:ilvl w:val="0"/>
                <w:numId w:val="0"/>
              </w:numPr>
              <w:kinsoku/>
              <w:wordWrap/>
              <w:overflowPunct/>
              <w:topLinePunct w:val="0"/>
              <w:bidi w:val="0"/>
              <w:spacing w:line="360" w:lineRule="auto"/>
              <w:ind w:firstLine="480" w:firstLineChars="200"/>
              <w:contextualSpacing/>
              <w:textAlignment w:val="auto"/>
              <w:rPr>
                <w:bCs/>
                <w:color w:val="auto"/>
                <w:sz w:val="24"/>
                <w:highlight w:val="none"/>
              </w:rPr>
            </w:pPr>
            <w:r>
              <w:rPr>
                <w:rFonts w:hint="eastAsia"/>
                <w:bCs/>
                <w:color w:val="auto"/>
                <w:sz w:val="24"/>
                <w:highlight w:val="none"/>
                <w:lang w:val="en-US" w:eastAsia="zh-CN"/>
              </w:rPr>
              <w:t>6、</w:t>
            </w:r>
            <w:r>
              <w:rPr>
                <w:bCs/>
                <w:color w:val="auto"/>
                <w:sz w:val="24"/>
                <w:highlight w:val="none"/>
              </w:rPr>
              <w:t>主要原辅材料</w:t>
            </w:r>
          </w:p>
          <w:p w14:paraId="73BBFDBA">
            <w:pPr>
              <w:keepNext/>
              <w:keepLines/>
              <w:pageBreakBefore w:val="0"/>
              <w:kinsoku/>
              <w:wordWrap/>
              <w:overflowPunct/>
              <w:topLinePunct w:val="0"/>
              <w:bidi w:val="0"/>
              <w:spacing w:line="360" w:lineRule="auto"/>
              <w:ind w:firstLine="480" w:firstLineChars="200"/>
              <w:contextualSpacing/>
              <w:textAlignment w:val="auto"/>
              <w:rPr>
                <w:bCs/>
                <w:color w:val="auto"/>
                <w:sz w:val="24"/>
                <w:highlight w:val="none"/>
              </w:rPr>
            </w:pPr>
            <w:r>
              <w:rPr>
                <w:bCs/>
                <w:color w:val="auto"/>
                <w:sz w:val="24"/>
                <w:highlight w:val="none"/>
              </w:rPr>
              <w:t>本</w:t>
            </w:r>
            <w:r>
              <w:rPr>
                <w:rFonts w:hint="eastAsia"/>
                <w:bCs/>
                <w:color w:val="auto"/>
                <w:sz w:val="24"/>
                <w:highlight w:val="none"/>
                <w:lang w:eastAsia="zh-CN"/>
              </w:rPr>
              <w:t>项目原辅材料种类具体如下</w:t>
            </w:r>
            <w:r>
              <w:rPr>
                <w:bCs/>
                <w:color w:val="auto"/>
                <w:sz w:val="24"/>
                <w:highlight w:val="none"/>
              </w:rPr>
              <w:t>。</w:t>
            </w:r>
          </w:p>
          <w:p w14:paraId="72B1D936">
            <w:pPr>
              <w:keepNext/>
              <w:keepLines/>
              <w:pageBreakBefore w:val="0"/>
              <w:kinsoku/>
              <w:wordWrap/>
              <w:overflowPunct/>
              <w:topLinePunct w:val="0"/>
              <w:bidi w:val="0"/>
              <w:spacing w:line="240" w:lineRule="auto"/>
              <w:ind w:firstLine="0" w:firstLineChars="0"/>
              <w:contextualSpacing/>
              <w:jc w:val="center"/>
              <w:textAlignment w:val="auto"/>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表2-</w:t>
            </w:r>
            <w:r>
              <w:rPr>
                <w:rFonts w:hint="eastAsia" w:ascii="Times New Roman" w:hAnsi="Times New Roman" w:eastAsia="宋体" w:cs="Times New Roman"/>
                <w:b/>
                <w:color w:val="auto"/>
                <w:sz w:val="21"/>
                <w:szCs w:val="21"/>
                <w:highlight w:val="none"/>
                <w:lang w:val="en-US" w:eastAsia="zh-CN"/>
              </w:rPr>
              <w:t>6</w:t>
            </w:r>
            <w:r>
              <w:rPr>
                <w:rFonts w:ascii="Times New Roman" w:hAnsi="Times New Roman" w:eastAsia="宋体" w:cs="Times New Roman"/>
                <w:b/>
                <w:color w:val="auto"/>
                <w:sz w:val="21"/>
                <w:szCs w:val="21"/>
                <w:highlight w:val="none"/>
              </w:rPr>
              <w:t xml:space="preserve">  本项目主要原辅材料及能耗一览表</w:t>
            </w:r>
          </w:p>
          <w:tbl>
            <w:tblPr>
              <w:tblStyle w:val="25"/>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9"/>
              <w:gridCol w:w="1286"/>
              <w:gridCol w:w="685"/>
              <w:gridCol w:w="1012"/>
              <w:gridCol w:w="892"/>
              <w:gridCol w:w="1504"/>
              <w:gridCol w:w="818"/>
              <w:gridCol w:w="1070"/>
            </w:tblGrid>
            <w:tr w14:paraId="72BDC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51" w:type="pct"/>
                  <w:tcBorders>
                    <w:bottom w:val="single" w:color="000000" w:sz="4" w:space="0"/>
                    <w:right w:val="single" w:color="000000" w:sz="4" w:space="0"/>
                  </w:tcBorders>
                  <w:shd w:val="clear" w:color="auto" w:fill="auto"/>
                  <w:vAlign w:val="center"/>
                </w:tcPr>
                <w:p w14:paraId="56C2E46E">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序号</w:t>
                  </w:r>
                </w:p>
              </w:tc>
              <w:tc>
                <w:tcPr>
                  <w:tcW w:w="822" w:type="pct"/>
                  <w:tcBorders>
                    <w:left w:val="single" w:color="000000" w:sz="4" w:space="0"/>
                    <w:bottom w:val="single" w:color="000000" w:sz="4" w:space="0"/>
                    <w:right w:val="single" w:color="000000" w:sz="4" w:space="0"/>
                  </w:tcBorders>
                  <w:shd w:val="clear" w:color="auto" w:fill="auto"/>
                  <w:vAlign w:val="center"/>
                </w:tcPr>
                <w:p w14:paraId="6720B40F">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名称</w:t>
                  </w:r>
                </w:p>
              </w:tc>
              <w:tc>
                <w:tcPr>
                  <w:tcW w:w="438" w:type="pct"/>
                  <w:tcBorders>
                    <w:left w:val="single" w:color="000000" w:sz="4" w:space="0"/>
                    <w:bottom w:val="single" w:color="000000" w:sz="4" w:space="0"/>
                    <w:right w:val="single" w:color="000000" w:sz="4" w:space="0"/>
                  </w:tcBorders>
                  <w:shd w:val="clear" w:color="auto" w:fill="auto"/>
                  <w:vAlign w:val="center"/>
                </w:tcPr>
                <w:p w14:paraId="030A29FB">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cs="宋体"/>
                      <w:b/>
                      <w:bCs w:val="0"/>
                      <w:color w:val="auto"/>
                      <w:szCs w:val="21"/>
                      <w:highlight w:val="none"/>
                      <w:lang w:val="en-US" w:eastAsia="zh-CN"/>
                    </w:rPr>
                    <w:t>形态</w:t>
                  </w:r>
                </w:p>
              </w:tc>
              <w:tc>
                <w:tcPr>
                  <w:tcW w:w="647" w:type="pct"/>
                  <w:tcBorders>
                    <w:left w:val="single" w:color="000000" w:sz="4" w:space="0"/>
                    <w:bottom w:val="single" w:color="000000" w:sz="4" w:space="0"/>
                    <w:right w:val="single" w:color="000000" w:sz="4" w:space="0"/>
                  </w:tcBorders>
                  <w:shd w:val="clear" w:color="auto" w:fill="auto"/>
                  <w:vAlign w:val="center"/>
                </w:tcPr>
                <w:p w14:paraId="62649F82">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年用量(t/a)</w:t>
                  </w:r>
                </w:p>
              </w:tc>
              <w:tc>
                <w:tcPr>
                  <w:tcW w:w="570" w:type="pct"/>
                  <w:tcBorders>
                    <w:left w:val="single" w:color="000000" w:sz="4" w:space="0"/>
                    <w:bottom w:val="single" w:color="000000" w:sz="4" w:space="0"/>
                    <w:right w:val="single" w:color="000000" w:sz="4" w:space="0"/>
                  </w:tcBorders>
                  <w:shd w:val="clear" w:color="auto" w:fill="auto"/>
                  <w:vAlign w:val="center"/>
                </w:tcPr>
                <w:p w14:paraId="25EE9CA0">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最大储存量(t)</w:t>
                  </w:r>
                </w:p>
              </w:tc>
              <w:tc>
                <w:tcPr>
                  <w:tcW w:w="961" w:type="pct"/>
                  <w:tcBorders>
                    <w:left w:val="single" w:color="000000" w:sz="4" w:space="0"/>
                    <w:bottom w:val="single" w:color="000000" w:sz="4" w:space="0"/>
                    <w:right w:val="single" w:color="000000" w:sz="4" w:space="0"/>
                  </w:tcBorders>
                  <w:shd w:val="clear" w:color="auto" w:fill="auto"/>
                  <w:vAlign w:val="center"/>
                </w:tcPr>
                <w:p w14:paraId="3C148996">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包装方式</w:t>
                  </w:r>
                </w:p>
              </w:tc>
              <w:tc>
                <w:tcPr>
                  <w:tcW w:w="523" w:type="pct"/>
                  <w:tcBorders>
                    <w:left w:val="single" w:color="000000" w:sz="4" w:space="0"/>
                    <w:bottom w:val="single" w:color="000000" w:sz="4" w:space="0"/>
                    <w:right w:val="single" w:color="000000" w:sz="4" w:space="0"/>
                  </w:tcBorders>
                  <w:shd w:val="clear" w:color="auto" w:fill="auto"/>
                  <w:vAlign w:val="center"/>
                </w:tcPr>
                <w:p w14:paraId="5DE7CA19">
                  <w:pPr>
                    <w:pStyle w:val="66"/>
                    <w:adjustRightInd w:val="0"/>
                    <w:snapToGrid w:val="0"/>
                    <w:spacing w:line="240" w:lineRule="auto"/>
                    <w:ind w:firstLine="0" w:firstLineChars="0"/>
                    <w:jc w:val="center"/>
                    <w:rPr>
                      <w:rFonts w:hint="eastAsia" w:ascii="Times New Roman" w:hAnsi="Times New Roman" w:eastAsia="宋体" w:cs="宋体"/>
                      <w:b/>
                      <w:bCs w:val="0"/>
                      <w:color w:val="auto"/>
                      <w:szCs w:val="21"/>
                      <w:highlight w:val="none"/>
                      <w:lang w:val="en-US" w:eastAsia="zh-CN"/>
                    </w:rPr>
                  </w:pPr>
                  <w:r>
                    <w:rPr>
                      <w:rFonts w:hint="eastAsia" w:ascii="Times New Roman" w:hAnsi="Times New Roman" w:eastAsia="宋体" w:cs="宋体"/>
                      <w:b/>
                      <w:bCs w:val="0"/>
                      <w:color w:val="auto"/>
                      <w:szCs w:val="21"/>
                      <w:highlight w:val="none"/>
                      <w:lang w:val="en-US" w:eastAsia="zh-CN"/>
                    </w:rPr>
                    <w:t>存放地点</w:t>
                  </w:r>
                </w:p>
              </w:tc>
              <w:tc>
                <w:tcPr>
                  <w:tcW w:w="683" w:type="pct"/>
                  <w:tcBorders>
                    <w:left w:val="single" w:color="000000" w:sz="4" w:space="0"/>
                    <w:bottom w:val="single" w:color="000000" w:sz="4" w:space="0"/>
                  </w:tcBorders>
                  <w:shd w:val="clear" w:color="auto" w:fill="auto"/>
                  <w:vAlign w:val="center"/>
                </w:tcPr>
                <w:p w14:paraId="2B91649E">
                  <w:pPr>
                    <w:pStyle w:val="66"/>
                    <w:adjustRightInd w:val="0"/>
                    <w:snapToGrid w:val="0"/>
                    <w:spacing w:line="240" w:lineRule="auto"/>
                    <w:ind w:firstLine="0" w:firstLineChars="0"/>
                    <w:jc w:val="center"/>
                    <w:rPr>
                      <w:rFonts w:hint="eastAsia" w:cs="宋体"/>
                      <w:b/>
                      <w:bCs w:val="0"/>
                      <w:color w:val="auto"/>
                      <w:szCs w:val="21"/>
                      <w:highlight w:val="none"/>
                      <w:lang w:val="en-US" w:eastAsia="zh-CN"/>
                    </w:rPr>
                  </w:pPr>
                  <w:r>
                    <w:rPr>
                      <w:rFonts w:hint="eastAsia" w:cs="宋体"/>
                      <w:b/>
                      <w:bCs w:val="0"/>
                      <w:color w:val="auto"/>
                      <w:szCs w:val="21"/>
                      <w:highlight w:val="none"/>
                      <w:lang w:val="en-US" w:eastAsia="zh-CN"/>
                    </w:rPr>
                    <w:t>备注</w:t>
                  </w:r>
                </w:p>
              </w:tc>
            </w:tr>
            <w:tr w14:paraId="029463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 w:hRule="atLeast"/>
                <w:jc w:val="center"/>
              </w:trPr>
              <w:tc>
                <w:tcPr>
                  <w:tcW w:w="351" w:type="pct"/>
                  <w:tcBorders>
                    <w:top w:val="single" w:color="000000" w:sz="4" w:space="0"/>
                    <w:bottom w:val="single" w:color="000000" w:sz="4" w:space="0"/>
                    <w:right w:val="single" w:color="000000" w:sz="4" w:space="0"/>
                  </w:tcBorders>
                  <w:shd w:val="clear" w:color="auto" w:fill="auto"/>
                  <w:vAlign w:val="center"/>
                </w:tcPr>
                <w:p w14:paraId="14577A5D">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w:t>
                  </w:r>
                </w:p>
              </w:tc>
              <w:tc>
                <w:tcPr>
                  <w:tcW w:w="8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648C6">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聚丙烯颗粒</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769B">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固体</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5194E">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1200</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43606">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50</w:t>
                  </w:r>
                </w:p>
              </w:tc>
              <w:tc>
                <w:tcPr>
                  <w:tcW w:w="961" w:type="pct"/>
                  <w:vMerge w:val="restart"/>
                  <w:tcBorders>
                    <w:top w:val="single" w:color="000000" w:sz="4" w:space="0"/>
                    <w:left w:val="single" w:color="000000" w:sz="4" w:space="0"/>
                    <w:right w:val="single" w:color="000000" w:sz="4" w:space="0"/>
                  </w:tcBorders>
                  <w:shd w:val="clear" w:color="auto" w:fill="auto"/>
                  <w:vAlign w:val="center"/>
                </w:tcPr>
                <w:p w14:paraId="7C00B73E">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袋装</w:t>
                  </w:r>
                  <w:r>
                    <w:rPr>
                      <w:rFonts w:hint="eastAsia" w:cs="宋体"/>
                      <w:bCs/>
                      <w:color w:val="auto"/>
                      <w:szCs w:val="21"/>
                      <w:highlight w:val="none"/>
                      <w:lang w:val="en-US" w:eastAsia="zh-CN"/>
                    </w:rPr>
                    <w:t>，25kg/袋</w:t>
                  </w:r>
                </w:p>
              </w:tc>
              <w:tc>
                <w:tcPr>
                  <w:tcW w:w="523" w:type="pct"/>
                  <w:vMerge w:val="restart"/>
                  <w:tcBorders>
                    <w:top w:val="single" w:color="000000" w:sz="4" w:space="0"/>
                    <w:left w:val="single" w:color="000000" w:sz="4" w:space="0"/>
                    <w:right w:val="single" w:color="000000" w:sz="4" w:space="0"/>
                  </w:tcBorders>
                  <w:shd w:val="clear" w:color="auto" w:fill="auto"/>
                  <w:vAlign w:val="center"/>
                </w:tcPr>
                <w:p w14:paraId="1E39C944">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原料库</w:t>
                  </w:r>
                </w:p>
              </w:tc>
              <w:tc>
                <w:tcPr>
                  <w:tcW w:w="683" w:type="pct"/>
                  <w:vMerge w:val="restart"/>
                  <w:tcBorders>
                    <w:top w:val="single" w:color="000000" w:sz="4" w:space="0"/>
                    <w:left w:val="single" w:color="000000" w:sz="4" w:space="0"/>
                  </w:tcBorders>
                  <w:shd w:val="clear" w:color="auto" w:fill="auto"/>
                  <w:vAlign w:val="center"/>
                </w:tcPr>
                <w:p w14:paraId="1F21597D">
                  <w:pPr>
                    <w:pStyle w:val="66"/>
                    <w:adjustRightInd w:val="0"/>
                    <w:snapToGrid w:val="0"/>
                    <w:spacing w:line="240" w:lineRule="auto"/>
                    <w:ind w:firstLine="0" w:firstLineChars="0"/>
                    <w:jc w:val="center"/>
                    <w:rPr>
                      <w:rFonts w:hint="eastAsia" w:cs="宋体"/>
                      <w:bCs/>
                      <w:color w:val="auto"/>
                      <w:szCs w:val="21"/>
                      <w:highlight w:val="none"/>
                      <w:lang w:val="en-US" w:eastAsia="zh-CN"/>
                    </w:rPr>
                  </w:pPr>
                  <w:r>
                    <w:rPr>
                      <w:rFonts w:hint="eastAsia" w:cs="宋体"/>
                      <w:bCs/>
                      <w:color w:val="auto"/>
                      <w:szCs w:val="21"/>
                      <w:highlight w:val="none"/>
                      <w:lang w:val="en-US" w:eastAsia="zh-CN"/>
                    </w:rPr>
                    <w:t>外购新料，不使用再生料</w:t>
                  </w:r>
                </w:p>
              </w:tc>
            </w:tr>
            <w:tr w14:paraId="189C3A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51" w:type="pct"/>
                  <w:tcBorders>
                    <w:top w:val="single" w:color="000000" w:sz="4" w:space="0"/>
                    <w:bottom w:val="single" w:color="000000" w:sz="4" w:space="0"/>
                    <w:right w:val="single" w:color="000000" w:sz="4" w:space="0"/>
                  </w:tcBorders>
                  <w:shd w:val="clear" w:color="auto" w:fill="auto"/>
                  <w:vAlign w:val="center"/>
                </w:tcPr>
                <w:p w14:paraId="07A7DA2B">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2</w:t>
                  </w:r>
                </w:p>
              </w:tc>
              <w:tc>
                <w:tcPr>
                  <w:tcW w:w="8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E0272">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色母粒</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B40A">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固体</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A7070">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60</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555FC">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ascii="Times New Roman" w:hAnsi="Times New Roman" w:eastAsia="宋体" w:cs="宋体"/>
                      <w:bCs/>
                      <w:color w:val="auto"/>
                      <w:szCs w:val="21"/>
                      <w:highlight w:val="none"/>
                      <w:lang w:val="en-US" w:eastAsia="zh-CN"/>
                    </w:rPr>
                    <w:t>15</w:t>
                  </w:r>
                </w:p>
              </w:tc>
              <w:tc>
                <w:tcPr>
                  <w:tcW w:w="961" w:type="pct"/>
                  <w:vMerge w:val="continue"/>
                  <w:tcBorders>
                    <w:left w:val="single" w:color="000000" w:sz="4" w:space="0"/>
                    <w:bottom w:val="single" w:color="000000" w:sz="4" w:space="0"/>
                    <w:right w:val="single" w:color="000000" w:sz="4" w:space="0"/>
                  </w:tcBorders>
                  <w:shd w:val="clear" w:color="auto" w:fill="auto"/>
                  <w:vAlign w:val="center"/>
                </w:tcPr>
                <w:p w14:paraId="2B34B225">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p>
              </w:tc>
              <w:tc>
                <w:tcPr>
                  <w:tcW w:w="523" w:type="pct"/>
                  <w:vMerge w:val="continue"/>
                  <w:tcBorders>
                    <w:left w:val="single" w:color="000000" w:sz="4" w:space="0"/>
                    <w:right w:val="single" w:color="000000" w:sz="4" w:space="0"/>
                  </w:tcBorders>
                  <w:shd w:val="clear" w:color="auto" w:fill="auto"/>
                  <w:vAlign w:val="center"/>
                </w:tcPr>
                <w:p w14:paraId="2D540BE9">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p>
              </w:tc>
              <w:tc>
                <w:tcPr>
                  <w:tcW w:w="683" w:type="pct"/>
                  <w:vMerge w:val="continue"/>
                  <w:tcBorders>
                    <w:left w:val="single" w:color="000000" w:sz="4" w:space="0"/>
                  </w:tcBorders>
                  <w:shd w:val="clear" w:color="auto" w:fill="auto"/>
                  <w:vAlign w:val="center"/>
                </w:tcPr>
                <w:p w14:paraId="390CC3C5">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p>
              </w:tc>
            </w:tr>
            <w:tr w14:paraId="73AE50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51" w:type="pct"/>
                  <w:tcBorders>
                    <w:top w:val="single" w:color="000000" w:sz="4" w:space="0"/>
                    <w:bottom w:val="single" w:color="000000" w:sz="4" w:space="0"/>
                    <w:right w:val="single" w:color="000000" w:sz="4" w:space="0"/>
                  </w:tcBorders>
                  <w:shd w:val="clear" w:color="auto" w:fill="auto"/>
                  <w:vAlign w:val="center"/>
                </w:tcPr>
                <w:p w14:paraId="211B2B65">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3</w:t>
                  </w:r>
                </w:p>
              </w:tc>
              <w:tc>
                <w:tcPr>
                  <w:tcW w:w="8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4A953">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水性漆</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E9EDB">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液体</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C28F">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4.67</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3E8A">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2</w:t>
                  </w:r>
                </w:p>
              </w:tc>
              <w:tc>
                <w:tcPr>
                  <w:tcW w:w="9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CFB46">
                  <w:pPr>
                    <w:pStyle w:val="66"/>
                    <w:adjustRightInd w:val="0"/>
                    <w:snapToGrid w:val="0"/>
                    <w:spacing w:line="240" w:lineRule="auto"/>
                    <w:ind w:firstLine="0" w:firstLineChars="0"/>
                    <w:jc w:val="center"/>
                    <w:rPr>
                      <w:rFonts w:hint="default" w:ascii="Times New Roman" w:hAnsi="Times New Roman" w:eastAsia="宋体" w:cs="宋体"/>
                      <w:bCs/>
                      <w:color w:val="auto"/>
                      <w:szCs w:val="21"/>
                      <w:highlight w:val="none"/>
                      <w:lang w:val="en-US" w:eastAsia="zh-CN"/>
                    </w:rPr>
                  </w:pPr>
                  <w:r>
                    <w:rPr>
                      <w:rFonts w:hint="eastAsia" w:cs="宋体"/>
                      <w:bCs/>
                      <w:color w:val="auto"/>
                      <w:szCs w:val="21"/>
                      <w:highlight w:val="none"/>
                      <w:lang w:val="en-US" w:eastAsia="zh-CN"/>
                    </w:rPr>
                    <w:t>桶装，25kg/桶</w:t>
                  </w:r>
                </w:p>
              </w:tc>
              <w:tc>
                <w:tcPr>
                  <w:tcW w:w="523" w:type="pct"/>
                  <w:vMerge w:val="continue"/>
                  <w:tcBorders>
                    <w:left w:val="single" w:color="000000" w:sz="4" w:space="0"/>
                    <w:bottom w:val="single" w:color="000000" w:sz="4" w:space="0"/>
                    <w:right w:val="single" w:color="000000" w:sz="4" w:space="0"/>
                  </w:tcBorders>
                  <w:shd w:val="clear" w:color="auto" w:fill="auto"/>
                  <w:vAlign w:val="center"/>
                </w:tcPr>
                <w:p w14:paraId="4885785C">
                  <w:pPr>
                    <w:pStyle w:val="66"/>
                    <w:adjustRightInd w:val="0"/>
                    <w:snapToGrid w:val="0"/>
                    <w:spacing w:line="240" w:lineRule="auto"/>
                    <w:ind w:firstLine="0" w:firstLineChars="0"/>
                    <w:jc w:val="center"/>
                    <w:rPr>
                      <w:rFonts w:hint="eastAsia" w:ascii="Times New Roman" w:hAnsi="Times New Roman" w:eastAsia="宋体" w:cs="宋体"/>
                      <w:bCs/>
                      <w:color w:val="auto"/>
                      <w:szCs w:val="21"/>
                      <w:highlight w:val="none"/>
                      <w:lang w:val="en-US" w:eastAsia="zh-CN"/>
                    </w:rPr>
                  </w:pPr>
                </w:p>
              </w:tc>
              <w:tc>
                <w:tcPr>
                  <w:tcW w:w="683" w:type="pct"/>
                  <w:vMerge w:val="continue"/>
                  <w:tcBorders>
                    <w:left w:val="single" w:color="000000" w:sz="4" w:space="0"/>
                    <w:bottom w:val="single" w:color="000000" w:sz="4" w:space="0"/>
                  </w:tcBorders>
                  <w:shd w:val="clear" w:color="auto" w:fill="auto"/>
                  <w:vAlign w:val="center"/>
                </w:tcPr>
                <w:p w14:paraId="2283E7AA">
                  <w:pPr>
                    <w:pStyle w:val="66"/>
                    <w:adjustRightInd w:val="0"/>
                    <w:snapToGrid w:val="0"/>
                    <w:spacing w:line="240" w:lineRule="auto"/>
                    <w:ind w:firstLine="0" w:firstLineChars="0"/>
                    <w:jc w:val="center"/>
                    <w:rPr>
                      <w:rFonts w:hint="eastAsia" w:cs="宋体"/>
                      <w:bCs/>
                      <w:color w:val="auto"/>
                      <w:szCs w:val="21"/>
                      <w:highlight w:val="none"/>
                      <w:lang w:val="en-US" w:eastAsia="zh-CN"/>
                    </w:rPr>
                  </w:pPr>
                </w:p>
              </w:tc>
            </w:tr>
          </w:tbl>
          <w:p w14:paraId="20622F42">
            <w:pPr>
              <w:spacing w:line="360" w:lineRule="auto"/>
              <w:ind w:firstLine="480" w:firstLineChars="200"/>
              <w:jc w:val="both"/>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t>本项目主要原辅料理化性质和毒性毒理详见</w:t>
            </w:r>
            <w:r>
              <w:rPr>
                <w:rFonts w:hint="default" w:ascii="Times New Roman" w:hAnsi="Times New Roman" w:cs="Times New Roman"/>
                <w:color w:val="auto"/>
                <w:sz w:val="24"/>
                <w:highlight w:val="none"/>
                <w:lang w:val="en-US" w:eastAsia="zh-CN" w:bidi="ar-SA"/>
              </w:rPr>
              <w:t>下表</w:t>
            </w:r>
            <w:r>
              <w:rPr>
                <w:rFonts w:hint="default" w:ascii="Times New Roman" w:hAnsi="Times New Roman" w:eastAsia="宋体" w:cs="Times New Roman"/>
                <w:color w:val="auto"/>
                <w:sz w:val="24"/>
                <w:highlight w:val="none"/>
                <w:lang w:val="en-US" w:eastAsia="zh-CN" w:bidi="ar-SA"/>
              </w:rPr>
              <w:t>。</w:t>
            </w:r>
          </w:p>
          <w:p w14:paraId="79B2FC3D">
            <w:pPr>
              <w:keepNext/>
              <w:keepLines/>
              <w:pageBreakBefore w:val="0"/>
              <w:kinsoku/>
              <w:wordWrap/>
              <w:overflowPunct/>
              <w:topLinePunct w:val="0"/>
              <w:bidi w:val="0"/>
              <w:spacing w:line="240" w:lineRule="auto"/>
              <w:ind w:firstLine="0" w:firstLineChars="0"/>
              <w:contextualSpacing/>
              <w:jc w:val="center"/>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表2-7  主要化学品理化性质一览表</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5466"/>
              <w:gridCol w:w="785"/>
              <w:gridCol w:w="638"/>
            </w:tblGrid>
            <w:tr w14:paraId="4D74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3" w:type="pct"/>
                  <w:noWrap w:val="0"/>
                  <w:vAlign w:val="center"/>
                </w:tcPr>
                <w:p w14:paraId="4B7F60FA">
                  <w:pPr>
                    <w:pStyle w:val="66"/>
                    <w:adjustRightInd w:val="0"/>
                    <w:snapToGrid w:val="0"/>
                    <w:spacing w:line="240" w:lineRule="auto"/>
                    <w:ind w:firstLine="0" w:firstLineChars="0"/>
                    <w:jc w:val="center"/>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lang w:val="en-US" w:eastAsia="zh-CN"/>
                    </w:rPr>
                    <w:t>化学品名称</w:t>
                  </w:r>
                </w:p>
              </w:tc>
              <w:tc>
                <w:tcPr>
                  <w:tcW w:w="3496" w:type="pct"/>
                  <w:noWrap w:val="0"/>
                  <w:vAlign w:val="center"/>
                </w:tcPr>
                <w:p w14:paraId="0AE3105C">
                  <w:pPr>
                    <w:pStyle w:val="66"/>
                    <w:adjustRightInd w:val="0"/>
                    <w:snapToGrid w:val="0"/>
                    <w:spacing w:line="240" w:lineRule="auto"/>
                    <w:ind w:firstLine="0" w:firstLineChars="0"/>
                    <w:jc w:val="center"/>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lang w:val="en-US" w:eastAsia="zh-CN"/>
                    </w:rPr>
                    <w:t>主要成分</w:t>
                  </w:r>
                </w:p>
              </w:tc>
              <w:tc>
                <w:tcPr>
                  <w:tcW w:w="502" w:type="pct"/>
                  <w:noWrap w:val="0"/>
                  <w:vAlign w:val="center"/>
                </w:tcPr>
                <w:p w14:paraId="1CA9C826">
                  <w:pPr>
                    <w:pStyle w:val="66"/>
                    <w:adjustRightInd w:val="0"/>
                    <w:snapToGrid w:val="0"/>
                    <w:spacing w:line="240" w:lineRule="auto"/>
                    <w:ind w:firstLine="0" w:firstLineChars="0"/>
                    <w:jc w:val="center"/>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lang w:val="en-US" w:eastAsia="zh-CN"/>
                    </w:rPr>
                    <w:t>理化性质</w:t>
                  </w:r>
                </w:p>
              </w:tc>
              <w:tc>
                <w:tcPr>
                  <w:tcW w:w="408" w:type="pct"/>
                  <w:noWrap w:val="0"/>
                  <w:vAlign w:val="center"/>
                </w:tcPr>
                <w:p w14:paraId="4F8976FB">
                  <w:pPr>
                    <w:pStyle w:val="66"/>
                    <w:adjustRightInd w:val="0"/>
                    <w:snapToGrid w:val="0"/>
                    <w:spacing w:line="240" w:lineRule="auto"/>
                    <w:ind w:firstLine="0" w:firstLineChars="0"/>
                    <w:jc w:val="center"/>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lang w:val="en-US" w:eastAsia="zh-CN"/>
                    </w:rPr>
                    <w:t>毒理性质</w:t>
                  </w:r>
                </w:p>
              </w:tc>
            </w:tr>
            <w:tr w14:paraId="23F1E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3" w:type="pct"/>
                  <w:shd w:val="clear" w:color="auto" w:fill="auto"/>
                  <w:noWrap w:val="0"/>
                  <w:vAlign w:val="center"/>
                </w:tcPr>
                <w:p w14:paraId="7037454E">
                  <w:pPr>
                    <w:pStyle w:val="66"/>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rPr>
                    <w:t>聚丙烯</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PP</w:t>
                  </w:r>
                  <w:r>
                    <w:rPr>
                      <w:rFonts w:hint="default" w:ascii="Times New Roman" w:hAnsi="Times New Roman" w:cs="Times New Roman"/>
                      <w:color w:val="auto"/>
                      <w:lang w:eastAsia="zh-CN"/>
                    </w:rPr>
                    <w:t>）</w:t>
                  </w:r>
                </w:p>
              </w:tc>
              <w:tc>
                <w:tcPr>
                  <w:tcW w:w="3496" w:type="pct"/>
                  <w:shd w:val="clear" w:color="auto" w:fill="auto"/>
                  <w:noWrap w:val="0"/>
                  <w:vAlign w:val="center"/>
                </w:tcPr>
                <w:p w14:paraId="1AB792BD">
                  <w:pPr>
                    <w:pStyle w:val="63"/>
                    <w:keepNext w:val="0"/>
                    <w:keepLines w:val="0"/>
                    <w:pageBreakBefore w:val="0"/>
                    <w:widowControl w:val="0"/>
                    <w:kinsoku/>
                    <w:wordWrap/>
                    <w:overflowPunct/>
                    <w:topLinePunct w:val="0"/>
                    <w:autoSpaceDE/>
                    <w:autoSpaceDN/>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4"/>
                      <w:szCs w:val="21"/>
                      <w:lang w:val="en-US" w:eastAsia="zh-CN" w:bidi="ar-SA"/>
                      <w14:textFill>
                        <w14:solidFill>
                          <w14:schemeClr w14:val="tx1"/>
                        </w14:solidFill>
                      </w14:textFill>
                    </w:rPr>
                  </w:pPr>
                  <w:r>
                    <w:rPr>
                      <w:rFonts w:hint="default" w:ascii="Times New Roman" w:hAnsi="Times New Roman" w:cs="Times New Roman"/>
                      <w:color w:val="000000" w:themeColor="text1"/>
                      <w:spacing w:val="7"/>
                      <w:sz w:val="21"/>
                      <w:szCs w:val="21"/>
                      <w14:textFill>
                        <w14:solidFill>
                          <w14:schemeClr w14:val="tx1"/>
                        </w14:solidFill>
                      </w14:textFill>
                    </w:rPr>
                    <w:t>是丙烯通过</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"https://baike.baidu.com/item/%E5%8A%A0%E8%81%9A%E5%8F%8D%E5%BA%94/9609649"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Fonts w:hint="default" w:ascii="Times New Roman" w:hAnsi="Times New Roman" w:cs="Times New Roman"/>
                      <w:color w:val="000000" w:themeColor="text1"/>
                      <w:spacing w:val="7"/>
                      <w:sz w:val="21"/>
                      <w:szCs w:val="21"/>
                      <w14:textFill>
                        <w14:solidFill>
                          <w14:schemeClr w14:val="tx1"/>
                        </w14:solidFill>
                      </w14:textFill>
                    </w:rPr>
                    <w:t>加聚反应</w:t>
                  </w:r>
                  <w:r>
                    <w:rPr>
                      <w:rFonts w:hint="default" w:ascii="Times New Roman" w:hAnsi="Times New Roman" w:cs="Times New Roman"/>
                      <w:color w:val="000000" w:themeColor="text1"/>
                      <w:spacing w:val="7"/>
                      <w:sz w:val="21"/>
                      <w:szCs w:val="21"/>
                      <w14:textFill>
                        <w14:solidFill>
                          <w14:schemeClr w14:val="tx1"/>
                        </w14:solidFill>
                      </w14:textFill>
                    </w:rPr>
                    <w:fldChar w:fldCharType="end"/>
                  </w:r>
                  <w:r>
                    <w:rPr>
                      <w:rFonts w:hint="default" w:ascii="Times New Roman" w:hAnsi="Times New Roman" w:cs="Times New Roman"/>
                      <w:color w:val="000000" w:themeColor="text1"/>
                      <w:spacing w:val="7"/>
                      <w:sz w:val="21"/>
                      <w:szCs w:val="21"/>
                      <w14:textFill>
                        <w14:solidFill>
                          <w14:schemeClr w14:val="tx1"/>
                        </w14:solidFill>
                      </w14:textFill>
                    </w:rPr>
                    <w:t>而成的</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"https://baike.baidu.com/item/%E8%81%9A%E5%90%88%E7%89%A9/6252844"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Fonts w:hint="default" w:ascii="Times New Roman" w:hAnsi="Times New Roman" w:cs="Times New Roman"/>
                      <w:color w:val="000000" w:themeColor="text1"/>
                      <w:spacing w:val="7"/>
                      <w:sz w:val="21"/>
                      <w:szCs w:val="21"/>
                      <w14:textFill>
                        <w14:solidFill>
                          <w14:schemeClr w14:val="tx1"/>
                        </w14:solidFill>
                      </w14:textFill>
                    </w:rPr>
                    <w:t>聚合物</w:t>
                  </w:r>
                  <w:r>
                    <w:rPr>
                      <w:rFonts w:hint="default" w:ascii="Times New Roman" w:hAnsi="Times New Roman" w:cs="Times New Roman"/>
                      <w:color w:val="000000" w:themeColor="text1"/>
                      <w:spacing w:val="7"/>
                      <w:sz w:val="21"/>
                      <w:szCs w:val="21"/>
                      <w14:textFill>
                        <w14:solidFill>
                          <w14:schemeClr w14:val="tx1"/>
                        </w14:solidFill>
                      </w14:textFill>
                    </w:rPr>
                    <w:fldChar w:fldCharType="end"/>
                  </w:r>
                  <w:r>
                    <w:rPr>
                      <w:rFonts w:hint="default" w:ascii="Times New Roman" w:hAnsi="Times New Roman" w:cs="Times New Roman"/>
                      <w:color w:val="000000" w:themeColor="text1"/>
                      <w:spacing w:val="7"/>
                      <w:sz w:val="21"/>
                      <w:szCs w:val="21"/>
                      <w14:textFill>
                        <w14:solidFill>
                          <w14:schemeClr w14:val="tx1"/>
                        </w14:solidFill>
                      </w14:textFill>
                    </w:rPr>
                    <w:t>，白色蜡状材</w:t>
                  </w:r>
                  <w:r>
                    <w:rPr>
                      <w:rFonts w:hint="default" w:ascii="Times New Roman" w:hAnsi="Times New Roman" w:cs="Times New Roman"/>
                      <w:color w:val="000000" w:themeColor="text1"/>
                      <w:spacing w:val="9"/>
                      <w:sz w:val="21"/>
                      <w:szCs w:val="21"/>
                      <w14:textFill>
                        <w14:solidFill>
                          <w14:schemeClr w14:val="tx1"/>
                        </w14:solidFill>
                      </w14:textFill>
                    </w:rPr>
                    <w:t>料，无色、无臭、无毒、半透明固体物质，化学</w:t>
                  </w:r>
                  <w:r>
                    <w:rPr>
                      <w:rFonts w:hint="default" w:ascii="Times New Roman" w:hAnsi="Times New Roman" w:cs="Times New Roman"/>
                      <w:color w:val="000000" w:themeColor="text1"/>
                      <w:spacing w:val="4"/>
                      <w:sz w:val="21"/>
                      <w:szCs w:val="21"/>
                      <w14:textFill>
                        <w14:solidFill>
                          <w14:schemeClr w14:val="tx1"/>
                        </w14:solidFill>
                      </w14:textFill>
                    </w:rPr>
                    <w:t>式为</w:t>
                  </w:r>
                  <w:r>
                    <w:rPr>
                      <w:rFonts w:hint="default" w:ascii="Times New Roman" w:hAnsi="Times New Roman" w:eastAsia="宋体" w:cs="Times New Roman"/>
                      <w:color w:val="000000" w:themeColor="text1"/>
                      <w:spacing w:val="4"/>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4"/>
                      <w:sz w:val="21"/>
                      <w:szCs w:val="21"/>
                      <w14:textFill>
                        <w14:solidFill>
                          <w14:schemeClr w14:val="tx1"/>
                        </w14:solidFill>
                      </w14:textFill>
                    </w:rPr>
                    <w:t>C</w:t>
                  </w:r>
                  <w:r>
                    <w:rPr>
                      <w:rFonts w:hint="default" w:ascii="Times New Roman" w:hAnsi="Times New Roman" w:eastAsia="Times New Roman" w:cs="Times New Roman"/>
                      <w:color w:val="000000" w:themeColor="text1"/>
                      <w:spacing w:val="4"/>
                      <w:position w:val="-1"/>
                      <w:sz w:val="21"/>
                      <w:szCs w:val="21"/>
                      <w14:textFill>
                        <w14:solidFill>
                          <w14:schemeClr w14:val="tx1"/>
                        </w14:solidFill>
                      </w14:textFill>
                    </w:rPr>
                    <w:t>3</w:t>
                  </w:r>
                  <w:r>
                    <w:rPr>
                      <w:rFonts w:hint="default" w:ascii="Times New Roman" w:hAnsi="Times New Roman" w:eastAsia="Times New Roman" w:cs="Times New Roman"/>
                      <w:color w:val="000000" w:themeColor="text1"/>
                      <w:spacing w:val="4"/>
                      <w:sz w:val="21"/>
                      <w:szCs w:val="21"/>
                      <w14:textFill>
                        <w14:solidFill>
                          <w14:schemeClr w14:val="tx1"/>
                        </w14:solidFill>
                      </w14:textFill>
                    </w:rPr>
                    <w:t>H</w:t>
                  </w:r>
                  <w:r>
                    <w:rPr>
                      <w:rFonts w:hint="default" w:ascii="Times New Roman" w:hAnsi="Times New Roman" w:eastAsia="Times New Roman" w:cs="Times New Roman"/>
                      <w:color w:val="000000" w:themeColor="text1"/>
                      <w:spacing w:val="4"/>
                      <w:position w:val="-1"/>
                      <w:sz w:val="21"/>
                      <w:szCs w:val="21"/>
                      <w14:textFill>
                        <w14:solidFill>
                          <w14:schemeClr w14:val="tx1"/>
                        </w14:solidFill>
                      </w14:textFill>
                    </w:rPr>
                    <w:t>6</w:t>
                  </w:r>
                  <w:r>
                    <w:rPr>
                      <w:rFonts w:hint="default" w:ascii="Times New Roman" w:hAnsi="Times New Roman" w:eastAsia="宋体" w:cs="Times New Roman"/>
                      <w:color w:val="000000" w:themeColor="text1"/>
                      <w:spacing w:val="4"/>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4"/>
                      <w:sz w:val="21"/>
                      <w:szCs w:val="21"/>
                      <w14:textFill>
                        <w14:solidFill>
                          <w14:schemeClr w14:val="tx1"/>
                        </w14:solidFill>
                      </w14:textFill>
                    </w:rPr>
                    <w:t>n</w:t>
                  </w:r>
                  <w:r>
                    <w:rPr>
                      <w:rFonts w:hint="default" w:ascii="Times New Roman" w:hAnsi="Times New Roman" w:eastAsia="宋体" w:cs="Times New Roman"/>
                      <w:color w:val="000000" w:themeColor="text1"/>
                      <w:spacing w:val="4"/>
                      <w:sz w:val="21"/>
                      <w:szCs w:val="21"/>
                      <w:lang w:eastAsia="zh-CN"/>
                      <w14:textFill>
                        <w14:solidFill>
                          <w14:schemeClr w14:val="tx1"/>
                        </w14:solidFill>
                      </w14:textFill>
                    </w:rPr>
                    <w:t>。</w:t>
                  </w:r>
                  <w:r>
                    <w:rPr>
                      <w:rFonts w:hint="default" w:ascii="Times New Roman" w:hAnsi="Times New Roman" w:eastAsia="宋体" w:cs="Times New Roman"/>
                      <w:bCs/>
                      <w:color w:val="auto"/>
                      <w:kern w:val="2"/>
                      <w:sz w:val="21"/>
                      <w:szCs w:val="21"/>
                      <w:lang w:val="en-US" w:eastAsia="zh-CN" w:bidi="ar-SA"/>
                    </w:rPr>
                    <w:t>闪点350℃，分解温度300℃</w:t>
                  </w:r>
                </w:p>
              </w:tc>
              <w:tc>
                <w:tcPr>
                  <w:tcW w:w="502" w:type="pct"/>
                  <w:shd w:val="clear" w:color="auto" w:fill="auto"/>
                  <w:noWrap w:val="0"/>
                  <w:vAlign w:val="center"/>
                </w:tcPr>
                <w:p w14:paraId="0036F6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4"/>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易燃</w:t>
                  </w:r>
                </w:p>
              </w:tc>
              <w:tc>
                <w:tcPr>
                  <w:tcW w:w="408" w:type="pct"/>
                  <w:shd w:val="clear" w:color="auto" w:fill="auto"/>
                  <w:noWrap w:val="0"/>
                  <w:vAlign w:val="center"/>
                </w:tcPr>
                <w:p w14:paraId="6279B8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4"/>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无毒</w:t>
                  </w:r>
                </w:p>
              </w:tc>
            </w:tr>
            <w:tr w14:paraId="5CE0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93" w:type="pct"/>
                  <w:shd w:val="clear" w:color="auto" w:fill="auto"/>
                  <w:noWrap w:val="0"/>
                  <w:vAlign w:val="center"/>
                </w:tcPr>
                <w:p w14:paraId="45FC3797">
                  <w:pPr>
                    <w:pStyle w:val="66"/>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lang w:eastAsia="zh-CN"/>
                    </w:rPr>
                    <w:t>色母粒子</w:t>
                  </w:r>
                </w:p>
              </w:tc>
              <w:tc>
                <w:tcPr>
                  <w:tcW w:w="3496" w:type="pct"/>
                  <w:shd w:val="clear" w:color="auto" w:fill="auto"/>
                  <w:noWrap w:val="0"/>
                  <w:vAlign w:val="center"/>
                </w:tcPr>
                <w:p w14:paraId="572AE366">
                  <w:pPr>
                    <w:pStyle w:val="66"/>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lang w:eastAsia="zh-CN"/>
                    </w:rPr>
                    <w:t>黑色颗粒，主要</w:t>
                  </w:r>
                  <w:r>
                    <w:rPr>
                      <w:rFonts w:hint="default" w:ascii="Times New Roman" w:hAnsi="Times New Roman" w:eastAsia="宋体" w:cs="Times New Roman"/>
                      <w:color w:val="auto"/>
                      <w:lang w:val="en-US" w:eastAsia="zh-CN"/>
                    </w:rPr>
                    <w:t>成分为</w:t>
                  </w:r>
                  <w:r>
                    <w:rPr>
                      <w:rFonts w:hint="default" w:ascii="Times New Roman" w:hAnsi="Times New Roman" w:cs="Times New Roman"/>
                      <w:color w:val="auto"/>
                      <w:lang w:val="en-US" w:eastAsia="zh-CN"/>
                    </w:rPr>
                    <w:t>聚丙烯23-60</w:t>
                  </w:r>
                  <w:r>
                    <w:rPr>
                      <w:rFonts w:hint="default" w:ascii="Times New Roman" w:hAnsi="Times New Roman" w:eastAsia="宋体" w:cs="Times New Roman"/>
                      <w:color w:val="auto"/>
                      <w:lang w:val="en-US" w:eastAsia="zh-CN"/>
                    </w:rPr>
                    <w:t>%，</w:t>
                  </w:r>
                  <w:r>
                    <w:rPr>
                      <w:rFonts w:hint="default" w:ascii="Times New Roman" w:hAnsi="Times New Roman" w:cs="Times New Roman"/>
                      <w:color w:val="auto"/>
                      <w:lang w:val="en-US" w:eastAsia="zh-CN"/>
                    </w:rPr>
                    <w:t>聚乙烯蜡10-3</w:t>
                  </w:r>
                  <w:r>
                    <w:rPr>
                      <w:rFonts w:hint="default" w:ascii="Times New Roman" w:hAnsi="Times New Roman" w:eastAsia="宋体" w:cs="Times New Roman"/>
                      <w:color w:val="auto"/>
                      <w:lang w:val="en-US" w:eastAsia="zh-CN"/>
                    </w:rPr>
                    <w:t>0%，</w:t>
                  </w:r>
                  <w:r>
                    <w:rPr>
                      <w:rFonts w:hint="default" w:ascii="Times New Roman" w:hAnsi="Times New Roman" w:cs="Times New Roman"/>
                      <w:color w:val="auto"/>
                      <w:lang w:val="en-US" w:eastAsia="zh-CN"/>
                    </w:rPr>
                    <w:t>酞青蓝1-5%，炭黑30-40%，其他1-5%。</w:t>
                  </w:r>
                  <w:r>
                    <w:rPr>
                      <w:rFonts w:hint="default" w:ascii="Times New Roman" w:hAnsi="Times New Roman" w:eastAsia="宋体" w:cs="Times New Roman"/>
                      <w:color w:val="auto"/>
                      <w:lang w:val="en-US" w:eastAsia="zh-CN"/>
                    </w:rPr>
                    <w:t>熔点为</w:t>
                  </w:r>
                  <w:r>
                    <w:rPr>
                      <w:rFonts w:hint="default" w:ascii="Times New Roman" w:hAnsi="Times New Roman" w:cs="Times New Roman"/>
                      <w:color w:val="auto"/>
                      <w:lang w:val="en-US" w:eastAsia="zh-CN"/>
                    </w:rPr>
                    <w:t>110~150</w:t>
                  </w:r>
                  <w:r>
                    <w:rPr>
                      <w:rFonts w:hint="default" w:ascii="Times New Roman" w:hAnsi="Times New Roman" w:eastAsia="宋体" w:cs="Times New Roman"/>
                      <w:color w:val="auto"/>
                      <w:lang w:val="en-US" w:eastAsia="zh-CN"/>
                    </w:rPr>
                    <w:t>℃，</w:t>
                  </w:r>
                  <w:r>
                    <w:rPr>
                      <w:rFonts w:hint="default" w:ascii="Times New Roman" w:hAnsi="Times New Roman" w:cs="Times New Roman"/>
                      <w:color w:val="auto"/>
                      <w:lang w:val="en-US" w:eastAsia="zh-CN"/>
                    </w:rPr>
                    <w:t>密度为0.90~0.91</w:t>
                  </w:r>
                  <w:r>
                    <w:rPr>
                      <w:rFonts w:hint="default" w:ascii="Times New Roman" w:hAnsi="Times New Roman" w:cs="Times New Roman"/>
                      <w:color w:val="auto"/>
                    </w:rPr>
                    <w:t>g/cm³</w:t>
                  </w:r>
                  <w:r>
                    <w:rPr>
                      <w:rFonts w:hint="default" w:ascii="Times New Roman" w:hAnsi="Times New Roman" w:cs="Times New Roman"/>
                      <w:color w:val="auto"/>
                      <w:lang w:val="en-US" w:eastAsia="zh-CN"/>
                    </w:rPr>
                    <w:t>。</w:t>
                  </w:r>
                </w:p>
              </w:tc>
              <w:tc>
                <w:tcPr>
                  <w:tcW w:w="502" w:type="pct"/>
                  <w:shd w:val="clear" w:color="auto" w:fill="auto"/>
                  <w:noWrap w:val="0"/>
                  <w:vAlign w:val="center"/>
                </w:tcPr>
                <w:p w14:paraId="65FC0455">
                  <w:pPr>
                    <w:pStyle w:val="66"/>
                    <w:ind w:firstLine="0" w:firstLineChars="0"/>
                    <w:jc w:val="center"/>
                    <w:rPr>
                      <w:rFonts w:hint="default" w:ascii="Times New Roman" w:hAnsi="Times New Roman" w:eastAsia="宋体" w:cs="Times New Roman"/>
                      <w:bCs/>
                      <w:color w:val="auto"/>
                      <w:kern w:val="2"/>
                      <w:sz w:val="21"/>
                      <w:szCs w:val="21"/>
                      <w:shd w:val="clear" w:color="auto" w:fill="FFFFFF"/>
                      <w:lang w:val="en-US" w:eastAsia="zh-CN" w:bidi="ar-SA"/>
                    </w:rPr>
                  </w:pPr>
                  <w:r>
                    <w:rPr>
                      <w:rFonts w:hint="default" w:ascii="Times New Roman" w:hAnsi="Times New Roman" w:cs="Times New Roman"/>
                      <w:bCs/>
                      <w:color w:val="auto"/>
                      <w:kern w:val="2"/>
                      <w:sz w:val="21"/>
                      <w:szCs w:val="21"/>
                      <w:shd w:val="clear" w:color="auto" w:fill="FFFFFF"/>
                      <w:lang w:val="en-US" w:eastAsia="zh-CN" w:bidi="ar-SA"/>
                    </w:rPr>
                    <w:t>可燃</w:t>
                  </w:r>
                </w:p>
              </w:tc>
              <w:tc>
                <w:tcPr>
                  <w:tcW w:w="408" w:type="pct"/>
                  <w:shd w:val="clear" w:color="auto" w:fill="auto"/>
                  <w:noWrap w:val="0"/>
                  <w:vAlign w:val="center"/>
                </w:tcPr>
                <w:p w14:paraId="42DE7EB8">
                  <w:pPr>
                    <w:pStyle w:val="66"/>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lang w:eastAsia="zh-CN"/>
                    </w:rPr>
                    <w:t>无毒</w:t>
                  </w:r>
                </w:p>
              </w:tc>
            </w:tr>
            <w:tr w14:paraId="2DCF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593" w:type="pct"/>
                  <w:shd w:val="clear" w:color="auto" w:fill="auto"/>
                  <w:noWrap w:val="0"/>
                  <w:vAlign w:val="center"/>
                </w:tcPr>
                <w:p w14:paraId="750FA70F">
                  <w:pPr>
                    <w:pStyle w:val="66"/>
                    <w:ind w:firstLine="0" w:firstLineChars="0"/>
                    <w:jc w:val="center"/>
                    <w:rPr>
                      <w:rFonts w:hint="default" w:ascii="Times New Roman" w:hAnsi="Times New Roman" w:cs="Times New Roman"/>
                      <w:color w:val="auto"/>
                      <w:lang w:eastAsia="zh-CN"/>
                    </w:rPr>
                  </w:pPr>
                  <w:r>
                    <w:rPr>
                      <w:rFonts w:hint="default" w:ascii="Times New Roman" w:hAnsi="Times New Roman" w:cs="Times New Roman"/>
                      <w:color w:val="auto"/>
                      <w:lang w:eastAsia="zh-CN"/>
                    </w:rPr>
                    <w:t>水性漆</w:t>
                  </w:r>
                </w:p>
              </w:tc>
              <w:tc>
                <w:tcPr>
                  <w:tcW w:w="3496" w:type="pct"/>
                  <w:shd w:val="clear" w:color="auto" w:fill="auto"/>
                  <w:noWrap w:val="0"/>
                  <w:vAlign w:val="center"/>
                </w:tcPr>
                <w:p w14:paraId="3F58A15D">
                  <w:pPr>
                    <w:pStyle w:val="66"/>
                    <w:ind w:firstLine="0" w:firstLineChars="0"/>
                    <w:jc w:val="center"/>
                    <w:rPr>
                      <w:rFonts w:hint="default" w:ascii="Times New Roman" w:hAnsi="Times New Roman" w:cs="Times New Roman"/>
                      <w:color w:val="auto"/>
                      <w:lang w:val="en-US" w:eastAsia="zh-CN"/>
                    </w:rPr>
                  </w:pPr>
                  <w:r>
                    <w:rPr>
                      <w:rFonts w:hint="default" w:ascii="Times New Roman" w:hAnsi="Times New Roman" w:cs="Times New Roman"/>
                      <w:color w:val="auto"/>
                      <w:lang w:eastAsia="zh-CN"/>
                    </w:rPr>
                    <w:t>面漆和固化剂比例为</w:t>
                  </w:r>
                  <w:r>
                    <w:rPr>
                      <w:rFonts w:hint="default" w:ascii="Times New Roman" w:hAnsi="Times New Roman" w:cs="Times New Roman"/>
                      <w:color w:val="auto"/>
                      <w:lang w:val="en-US" w:eastAsia="zh-CN"/>
                    </w:rPr>
                    <w:t>7:1。面漆熔点为0℃，比重为1.32±0.02g/cm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，成分为3-丁氧基-2-丙醇、2-甲氧基-1-甲基乙基醋酸酯、4,5-二氯-2-正辛基-3-异噻唑啉酮(DCOIT)、丁氨基甲酸-3-碘-2-丙炔基酯(IPBC)、2-辛基-2氢-3-异噻唑酮；面漆固化剂熔点为0℃，比重为1.13±0.02g/cm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，成分为聚六亚甲基二异氰酸酯、γ-丙三醇氧基丙基三甲基硅烷</w:t>
                  </w:r>
                </w:p>
              </w:tc>
              <w:tc>
                <w:tcPr>
                  <w:tcW w:w="502" w:type="pct"/>
                  <w:shd w:val="clear" w:color="auto" w:fill="auto"/>
                  <w:noWrap w:val="0"/>
                  <w:vAlign w:val="center"/>
                </w:tcPr>
                <w:p w14:paraId="55E8B3D6">
                  <w:pPr>
                    <w:pStyle w:val="66"/>
                    <w:ind w:firstLine="0" w:firstLineChars="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408" w:type="pct"/>
                  <w:shd w:val="clear" w:color="auto" w:fill="auto"/>
                  <w:noWrap w:val="0"/>
                  <w:vAlign w:val="center"/>
                </w:tcPr>
                <w:p w14:paraId="4D5568E2">
                  <w:pPr>
                    <w:pStyle w:val="66"/>
                    <w:ind w:firstLine="0" w:firstLineChars="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bl>
          <w:p w14:paraId="2AF736CA">
            <w:pPr>
              <w:autoSpaceDE w:val="0"/>
              <w:autoSpaceDN w:val="0"/>
              <w:adjustRightInd w:val="0"/>
              <w:spacing w:line="360" w:lineRule="auto"/>
              <w:ind w:firstLine="480" w:firstLineChars="200"/>
              <w:rPr>
                <w:rFonts w:hint="default" w:cs="Times New Roman"/>
                <w:color w:val="auto"/>
                <w:kern w:val="0"/>
                <w:sz w:val="24"/>
                <w:highlight w:val="none"/>
                <w:lang w:val="en-US" w:eastAsia="zh-CN"/>
              </w:rPr>
            </w:pPr>
            <w:r>
              <w:rPr>
                <w:rFonts w:hint="eastAsia" w:cs="Times New Roman"/>
                <w:color w:val="auto"/>
                <w:kern w:val="0"/>
                <w:sz w:val="24"/>
                <w:highlight w:val="none"/>
                <w:lang w:val="en-US" w:eastAsia="zh-CN"/>
              </w:rPr>
              <w:t>根据企业提供的数据和MSDS报告，本</w:t>
            </w:r>
            <w:r>
              <w:rPr>
                <w:rFonts w:hint="eastAsia" w:ascii="Times New Roman" w:hAnsi="Times New Roman" w:eastAsia="宋体" w:cs="Times New Roman"/>
                <w:color w:val="auto"/>
                <w:kern w:val="0"/>
                <w:sz w:val="24"/>
                <w:highlight w:val="none"/>
                <w:lang w:val="en-US" w:eastAsia="zh-CN"/>
              </w:rPr>
              <w:t>项目使用的</w:t>
            </w:r>
            <w:r>
              <w:rPr>
                <w:rFonts w:hint="eastAsia" w:cs="Times New Roman"/>
                <w:color w:val="auto"/>
                <w:kern w:val="0"/>
                <w:sz w:val="24"/>
                <w:highlight w:val="none"/>
                <w:lang w:val="en-US" w:eastAsia="zh-CN"/>
              </w:rPr>
              <w:t>涂料为水性面漆，水性面漆中主剂和固化剂的比例为7:1，面漆密度为1.32g/cm</w:t>
            </w:r>
            <w:r>
              <w:rPr>
                <w:rFonts w:hint="eastAsia" w:cs="Times New Roman"/>
                <w:color w:val="auto"/>
                <w:kern w:val="0"/>
                <w:sz w:val="24"/>
                <w:highlight w:val="none"/>
                <w:vertAlign w:val="superscript"/>
                <w:lang w:val="en-US" w:eastAsia="zh-CN"/>
              </w:rPr>
              <w:t>3</w:t>
            </w:r>
            <w:r>
              <w:rPr>
                <w:rFonts w:hint="eastAsia" w:cs="Times New Roman"/>
                <w:color w:val="auto"/>
                <w:kern w:val="0"/>
                <w:sz w:val="24"/>
                <w:highlight w:val="none"/>
                <w:lang w:val="en-US" w:eastAsia="zh-CN"/>
              </w:rPr>
              <w:t>，固化剂密度为1.13g/cm</w:t>
            </w:r>
            <w:r>
              <w:rPr>
                <w:rFonts w:hint="eastAsia" w:cs="Times New Roman"/>
                <w:color w:val="auto"/>
                <w:kern w:val="0"/>
                <w:sz w:val="24"/>
                <w:highlight w:val="none"/>
                <w:vertAlign w:val="superscript"/>
                <w:lang w:val="en-US" w:eastAsia="zh-CN"/>
              </w:rPr>
              <w:t>3</w:t>
            </w:r>
            <w:r>
              <w:rPr>
                <w:rFonts w:hint="eastAsia" w:cs="Times New Roman"/>
                <w:color w:val="auto"/>
                <w:kern w:val="0"/>
                <w:sz w:val="24"/>
                <w:highlight w:val="none"/>
                <w:lang w:val="en-US" w:eastAsia="zh-CN"/>
              </w:rPr>
              <w:t>，则</w:t>
            </w:r>
            <w:r>
              <w:rPr>
                <w:rFonts w:hint="eastAsia" w:cs="Times New Roman"/>
                <w:color w:val="auto"/>
                <w:kern w:val="0"/>
                <w:sz w:val="24"/>
                <w:highlight w:val="none"/>
                <w:vertAlign w:val="baseline"/>
                <w:lang w:val="en-US" w:eastAsia="zh-CN"/>
              </w:rPr>
              <w:t>水性面漆密度约为1.296</w:t>
            </w:r>
            <w:r>
              <w:rPr>
                <w:rFonts w:hint="eastAsia" w:ascii="Times New Roman" w:hAnsi="Times New Roman" w:eastAsia="宋体" w:cs="Times New Roman"/>
                <w:color w:val="auto"/>
                <w:kern w:val="0"/>
                <w:sz w:val="24"/>
                <w:highlight w:val="none"/>
                <w:lang w:val="en-US" w:eastAsia="zh-CN"/>
              </w:rPr>
              <w:t>g/cm</w:t>
            </w:r>
            <w:r>
              <w:rPr>
                <w:rFonts w:hint="eastAsia" w:ascii="Times New Roman" w:hAnsi="Times New Roman" w:eastAsia="宋体" w:cs="Times New Roman"/>
                <w:color w:val="auto"/>
                <w:kern w:val="0"/>
                <w:sz w:val="24"/>
                <w:highlight w:val="none"/>
                <w:vertAlign w:val="superscript"/>
                <w:lang w:val="en-US" w:eastAsia="zh-CN"/>
              </w:rPr>
              <w:t>3</w:t>
            </w:r>
            <w:r>
              <w:rPr>
                <w:rFonts w:hint="eastAsia" w:cs="Times New Roman"/>
                <w:color w:val="auto"/>
                <w:kern w:val="0"/>
                <w:sz w:val="24"/>
                <w:highlight w:val="none"/>
                <w:lang w:val="en-US" w:eastAsia="zh-CN"/>
              </w:rPr>
              <w:t>。水性面漆主剂固体份含量为89.5%</w:t>
            </w:r>
            <w:r>
              <w:rPr>
                <w:rFonts w:hint="eastAsia" w:ascii="Times New Roman" w:hAnsi="Times New Roman" w:eastAsia="宋体" w:cs="Times New Roman"/>
                <w:color w:val="auto"/>
                <w:kern w:val="0"/>
                <w:sz w:val="24"/>
                <w:highlight w:val="none"/>
                <w:lang w:val="en-US" w:eastAsia="zh-CN"/>
              </w:rPr>
              <w:t>，</w:t>
            </w:r>
            <w:r>
              <w:rPr>
                <w:rFonts w:hint="eastAsia" w:cs="Times New Roman"/>
                <w:color w:val="auto"/>
                <w:kern w:val="0"/>
                <w:sz w:val="24"/>
                <w:highlight w:val="none"/>
                <w:lang w:val="en-US" w:eastAsia="zh-CN"/>
              </w:rPr>
              <w:t>固化剂固体份含量为90%</w:t>
            </w:r>
            <w:r>
              <w:rPr>
                <w:rFonts w:hint="eastAsia" w:cs="Times New Roman"/>
                <w:color w:val="auto"/>
                <w:kern w:val="0"/>
                <w:sz w:val="24"/>
                <w:highlight w:val="none"/>
                <w:vertAlign w:val="baseline"/>
                <w:lang w:val="en-US" w:eastAsia="zh-CN"/>
              </w:rPr>
              <w:t>，则水性面漆固体份含量为89.56%；</w:t>
            </w:r>
            <w:r>
              <w:rPr>
                <w:rFonts w:hint="eastAsia" w:cs="Times New Roman"/>
                <w:color w:val="auto"/>
                <w:kern w:val="0"/>
                <w:sz w:val="24"/>
                <w:highlight w:val="none"/>
                <w:lang w:val="en-US" w:eastAsia="zh-CN"/>
              </w:rPr>
              <w:t>水性面漆主剂挥发份含量为10.5%，固化剂挥发份含量为0，</w:t>
            </w:r>
            <w:r>
              <w:rPr>
                <w:rFonts w:hint="eastAsia" w:cs="Times New Roman"/>
                <w:color w:val="auto"/>
                <w:kern w:val="0"/>
                <w:sz w:val="24"/>
                <w:highlight w:val="none"/>
                <w:vertAlign w:val="baseline"/>
                <w:lang w:val="en-US" w:eastAsia="zh-CN"/>
              </w:rPr>
              <w:t>则水性面漆挥发份含量为9.188%。</w:t>
            </w:r>
          </w:p>
          <w:p w14:paraId="2F5DB0E8">
            <w:pPr>
              <w:autoSpaceDE w:val="0"/>
              <w:autoSpaceDN w:val="0"/>
              <w:adjustRightInd w:val="0"/>
              <w:spacing w:line="360" w:lineRule="auto"/>
              <w:ind w:firstLine="480" w:firstLineChars="200"/>
              <w:rPr>
                <w:rFonts w:hint="eastAsia" w:cs="Times New Roman"/>
                <w:color w:val="auto"/>
                <w:kern w:val="0"/>
                <w:sz w:val="24"/>
                <w:highlight w:val="none"/>
                <w:lang w:val="en-US" w:eastAsia="zh-CN"/>
              </w:rPr>
            </w:pPr>
            <w:r>
              <w:rPr>
                <w:rFonts w:hint="eastAsia" w:cs="Times New Roman"/>
                <w:color w:val="auto"/>
                <w:kern w:val="0"/>
                <w:sz w:val="24"/>
                <w:highlight w:val="none"/>
                <w:lang w:val="en-US" w:eastAsia="zh-CN"/>
              </w:rPr>
              <w:t>①涂料中挥发性有机物含量核算：</w:t>
            </w:r>
          </w:p>
          <w:p w14:paraId="41B73F27">
            <w:pPr>
              <w:autoSpaceDE w:val="0"/>
              <w:autoSpaceDN w:val="0"/>
              <w:adjustRightInd w:val="0"/>
              <w:spacing w:line="360" w:lineRule="auto"/>
              <w:ind w:firstLine="480" w:firstLineChars="200"/>
              <w:rPr>
                <w:rFonts w:hint="eastAsia" w:cs="Times New Roman"/>
                <w:color w:val="auto"/>
                <w:kern w:val="0"/>
                <w:sz w:val="24"/>
                <w:highlight w:val="none"/>
                <w:lang w:val="en-US" w:eastAsia="zh-CN"/>
              </w:rPr>
            </w:pPr>
            <w:r>
              <w:rPr>
                <w:rFonts w:hint="eastAsia" w:cs="Times New Roman"/>
                <w:color w:val="auto"/>
                <w:kern w:val="0"/>
                <w:sz w:val="24"/>
                <w:highlight w:val="none"/>
                <w:lang w:val="en-US" w:eastAsia="zh-CN"/>
              </w:rPr>
              <w:t>根据厂家提供的MSDS报告，项目施用状态使用的水性漆密度约为1.296g/cm</w:t>
            </w:r>
            <w:r>
              <w:rPr>
                <w:rFonts w:hint="eastAsia" w:cs="Times New Roman"/>
                <w:color w:val="auto"/>
                <w:kern w:val="0"/>
                <w:sz w:val="24"/>
                <w:highlight w:val="none"/>
                <w:vertAlign w:val="superscript"/>
                <w:lang w:val="en-US" w:eastAsia="zh-CN"/>
              </w:rPr>
              <w:t>3</w:t>
            </w:r>
            <w:r>
              <w:rPr>
                <w:rFonts w:hint="eastAsia" w:cs="Times New Roman"/>
                <w:color w:val="auto"/>
                <w:kern w:val="0"/>
                <w:sz w:val="24"/>
                <w:highlight w:val="none"/>
                <w:lang w:val="en-US" w:eastAsia="zh-CN"/>
              </w:rPr>
              <w:t>，水性漆中挥发性有机化合物含量9.188%，经核算本次评价以119.076g/L计。对照《低挥发性有机化合物含量涂料产品技术要求》（GB/T38597-2020）中“工业防护涂料-包装涂料（不粘涂料）-面漆”，本项目使用的水性漆符合（GB38597-2020）表2中限量值≦270g/L的要求。</w:t>
            </w:r>
          </w:p>
          <w:p w14:paraId="7286DA41">
            <w:pPr>
              <w:autoSpaceDE w:val="0"/>
              <w:autoSpaceDN w:val="0"/>
              <w:adjustRightInd w:val="0"/>
              <w:spacing w:line="360" w:lineRule="auto"/>
              <w:ind w:firstLine="480" w:firstLineChars="2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根据建设单位提供资料，项目约</w:t>
            </w:r>
            <w:r>
              <w:rPr>
                <w:rFonts w:hint="eastAsia" w:cs="Times New Roman"/>
                <w:color w:val="auto"/>
                <w:kern w:val="0"/>
                <w:sz w:val="24"/>
                <w:highlight w:val="none"/>
                <w:lang w:val="en-US" w:eastAsia="zh-CN"/>
              </w:rPr>
              <w:t>300万只保温容器外壳，对其中10%的产品</w:t>
            </w:r>
            <w:r>
              <w:rPr>
                <w:rFonts w:hint="default" w:cs="Times New Roman"/>
                <w:color w:val="auto"/>
                <w:kern w:val="0"/>
                <w:sz w:val="24"/>
                <w:highlight w:val="none"/>
                <w:lang w:val="en-US" w:eastAsia="zh-CN"/>
              </w:rPr>
              <w:t>进行喷漆处理，每件产品喷两道漆。</w:t>
            </w:r>
            <w:r>
              <w:rPr>
                <w:rFonts w:hint="eastAsia" w:cs="Times New Roman"/>
                <w:color w:val="auto"/>
                <w:kern w:val="0"/>
                <w:sz w:val="24"/>
                <w:highlight w:val="none"/>
                <w:lang w:val="en-US" w:eastAsia="zh-CN"/>
              </w:rPr>
              <w:t>项目产品保温容器塑料外壳尺寸为高40CM，直径13-15CM，</w:t>
            </w:r>
            <w:r>
              <w:rPr>
                <w:rFonts w:hint="default" w:cs="Times New Roman"/>
                <w:color w:val="auto"/>
                <w:kern w:val="0"/>
                <w:sz w:val="24"/>
                <w:highlight w:val="none"/>
                <w:lang w:val="en-US" w:eastAsia="zh-CN"/>
              </w:rPr>
              <w:t>本次</w:t>
            </w:r>
            <w:r>
              <w:rPr>
                <w:rFonts w:hint="eastAsia" w:cs="Times New Roman"/>
                <w:color w:val="auto"/>
                <w:kern w:val="0"/>
                <w:sz w:val="24"/>
                <w:highlight w:val="none"/>
                <w:lang w:val="en-US" w:eastAsia="zh-CN"/>
              </w:rPr>
              <w:t>评价</w:t>
            </w:r>
            <w:r>
              <w:rPr>
                <w:rFonts w:hint="default" w:cs="Times New Roman"/>
                <w:color w:val="auto"/>
                <w:kern w:val="0"/>
                <w:sz w:val="24"/>
                <w:highlight w:val="none"/>
                <w:lang w:val="en-US" w:eastAsia="zh-CN"/>
              </w:rPr>
              <w:t>喷漆件</w:t>
            </w:r>
            <w:r>
              <w:rPr>
                <w:rFonts w:hint="eastAsia" w:cs="Times New Roman"/>
                <w:color w:val="auto"/>
                <w:kern w:val="0"/>
                <w:sz w:val="24"/>
                <w:highlight w:val="none"/>
                <w:lang w:val="en-US" w:eastAsia="zh-CN"/>
              </w:rPr>
              <w:t>尺寸</w:t>
            </w:r>
            <w:r>
              <w:rPr>
                <w:rFonts w:hint="default" w:cs="Times New Roman"/>
                <w:color w:val="auto"/>
                <w:kern w:val="0"/>
                <w:sz w:val="24"/>
                <w:highlight w:val="none"/>
                <w:lang w:val="en-US" w:eastAsia="zh-CN"/>
              </w:rPr>
              <w:t>按最大尺寸计算，即</w:t>
            </w:r>
            <w:r>
              <w:rPr>
                <w:rFonts w:hint="eastAsia" w:cs="Times New Roman"/>
                <w:color w:val="auto"/>
                <w:kern w:val="0"/>
                <w:sz w:val="24"/>
                <w:highlight w:val="none"/>
                <w:lang w:val="en-US" w:eastAsia="zh-CN"/>
              </w:rPr>
              <w:t>高40CM，直径15CM</w:t>
            </w:r>
            <w:r>
              <w:rPr>
                <w:rFonts w:hint="default" w:cs="Times New Roman"/>
                <w:color w:val="auto"/>
                <w:kern w:val="0"/>
                <w:sz w:val="24"/>
                <w:highlight w:val="none"/>
                <w:lang w:val="en-US" w:eastAsia="zh-CN"/>
              </w:rPr>
              <w:t>尺寸产品。</w:t>
            </w:r>
            <w:r>
              <w:rPr>
                <w:rFonts w:hint="eastAsia" w:cs="Times New Roman"/>
                <w:color w:val="auto"/>
                <w:kern w:val="0"/>
                <w:sz w:val="24"/>
                <w:highlight w:val="none"/>
                <w:lang w:val="en-US" w:eastAsia="zh-CN"/>
              </w:rPr>
              <w:t>仅保温容器侧面需要进行喷漆，</w:t>
            </w:r>
            <w:r>
              <w:rPr>
                <w:rFonts w:hint="default" w:cs="Times New Roman"/>
                <w:color w:val="auto"/>
                <w:kern w:val="0"/>
                <w:sz w:val="24"/>
                <w:highlight w:val="none"/>
                <w:lang w:val="en-US" w:eastAsia="zh-CN"/>
              </w:rPr>
              <w:t>则每</w:t>
            </w:r>
            <w:r>
              <w:rPr>
                <w:rFonts w:hint="eastAsia" w:cs="Times New Roman"/>
                <w:color w:val="auto"/>
                <w:kern w:val="0"/>
                <w:sz w:val="24"/>
                <w:highlight w:val="none"/>
                <w:lang w:val="en-US" w:eastAsia="zh-CN"/>
              </w:rPr>
              <w:t>只保温器外壳</w:t>
            </w:r>
            <w:r>
              <w:rPr>
                <w:rFonts w:hint="default" w:cs="Times New Roman"/>
                <w:color w:val="auto"/>
                <w:kern w:val="0"/>
                <w:sz w:val="24"/>
                <w:highlight w:val="none"/>
                <w:lang w:val="en-US" w:eastAsia="zh-CN"/>
              </w:rPr>
              <w:t>喷漆单次处理的面积约0.1884m</w:t>
            </w:r>
            <w:r>
              <w:rPr>
                <w:rFonts w:hint="default" w:cs="Times New Roman"/>
                <w:color w:val="auto"/>
                <w:kern w:val="0"/>
                <w:sz w:val="24"/>
                <w:highlight w:val="none"/>
                <w:vertAlign w:val="superscript"/>
                <w:lang w:val="en-US" w:eastAsia="zh-CN"/>
              </w:rPr>
              <w:t>2</w:t>
            </w:r>
            <w:r>
              <w:rPr>
                <w:rFonts w:hint="default" w:cs="Times New Roman"/>
                <w:color w:val="auto"/>
                <w:kern w:val="0"/>
                <w:sz w:val="24"/>
                <w:highlight w:val="none"/>
                <w:lang w:val="en-US" w:eastAsia="zh-CN"/>
              </w:rPr>
              <w:t>，则项目总喷涂面积约</w:t>
            </w:r>
            <w:r>
              <w:rPr>
                <w:rFonts w:hint="eastAsia" w:cs="Times New Roman"/>
                <w:color w:val="auto"/>
                <w:kern w:val="0"/>
                <w:sz w:val="24"/>
                <w:highlight w:val="none"/>
                <w:lang w:val="en-US" w:eastAsia="zh-CN"/>
              </w:rPr>
              <w:t>113040</w:t>
            </w:r>
            <w:r>
              <w:rPr>
                <w:rFonts w:hint="default" w:cs="Times New Roman"/>
                <w:color w:val="auto"/>
                <w:kern w:val="0"/>
                <w:sz w:val="24"/>
                <w:highlight w:val="none"/>
                <w:lang w:val="en-US" w:eastAsia="zh-CN"/>
              </w:rPr>
              <w:t>m</w:t>
            </w:r>
            <w:r>
              <w:rPr>
                <w:rFonts w:hint="default" w:cs="Times New Roman"/>
                <w:color w:val="auto"/>
                <w:kern w:val="0"/>
                <w:sz w:val="24"/>
                <w:highlight w:val="none"/>
                <w:vertAlign w:val="superscript"/>
                <w:lang w:val="en-US" w:eastAsia="zh-CN"/>
              </w:rPr>
              <w:t>2</w:t>
            </w:r>
            <w:r>
              <w:rPr>
                <w:rFonts w:hint="default" w:cs="Times New Roman"/>
                <w:color w:val="auto"/>
                <w:kern w:val="0"/>
                <w:sz w:val="24"/>
                <w:highlight w:val="none"/>
                <w:lang w:val="en-US" w:eastAsia="zh-CN"/>
              </w:rPr>
              <w:t>。</w:t>
            </w:r>
          </w:p>
          <w:p w14:paraId="0E7ACA97">
            <w:pPr>
              <w:autoSpaceDE w:val="0"/>
              <w:autoSpaceDN w:val="0"/>
              <w:adjustRightInd w:val="0"/>
              <w:spacing w:line="360" w:lineRule="auto"/>
              <w:ind w:firstLine="480" w:firstLineChars="200"/>
              <w:rPr>
                <w:rFonts w:hint="eastAsia" w:cs="Times New Roman"/>
                <w:color w:val="auto"/>
                <w:kern w:val="0"/>
                <w:sz w:val="24"/>
                <w:highlight w:val="none"/>
                <w:lang w:val="en-US" w:eastAsia="zh-CN"/>
              </w:rPr>
            </w:pPr>
            <w:r>
              <w:rPr>
                <w:rFonts w:hint="eastAsia" w:cs="Times New Roman"/>
                <w:color w:val="auto"/>
                <w:kern w:val="0"/>
                <w:sz w:val="24"/>
                <w:highlight w:val="none"/>
                <w:lang w:val="en-US" w:eastAsia="zh-CN"/>
              </w:rPr>
              <w:t>②涂料使用量核算：</w:t>
            </w:r>
          </w:p>
          <w:p w14:paraId="57B76596">
            <w:pPr>
              <w:autoSpaceDE w:val="0"/>
              <w:autoSpaceDN w:val="0"/>
              <w:adjustRightInd w:val="0"/>
              <w:spacing w:line="360" w:lineRule="auto"/>
              <w:ind w:firstLine="480" w:firstLineChars="200"/>
              <w:rPr>
                <w:rFonts w:hint="eastAsia" w:cs="Times New Roman"/>
                <w:color w:val="auto"/>
                <w:kern w:val="0"/>
                <w:sz w:val="24"/>
                <w:highlight w:val="none"/>
                <w:lang w:val="en-US" w:eastAsia="zh-CN"/>
              </w:rPr>
            </w:pPr>
            <w:r>
              <w:rPr>
                <w:rFonts w:hint="eastAsia" w:cs="Times New Roman"/>
                <w:color w:val="auto"/>
                <w:kern w:val="0"/>
                <w:sz w:val="24"/>
                <w:highlight w:val="none"/>
                <w:lang w:val="en-US" w:eastAsia="zh-CN"/>
              </w:rPr>
              <w:t>水性漆用量采用以下公式计算：</w:t>
            </w:r>
          </w:p>
          <w:p w14:paraId="32F090E7">
            <w:pPr>
              <w:autoSpaceDE w:val="0"/>
              <w:autoSpaceDN w:val="0"/>
              <w:adjustRightInd w:val="0"/>
              <w:spacing w:line="360" w:lineRule="auto"/>
              <w:ind w:firstLine="480" w:firstLineChars="200"/>
              <w:jc w:val="center"/>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m=ρδs×10</w:t>
            </w:r>
            <w:r>
              <w:rPr>
                <w:rFonts w:hint="default" w:ascii="Times New Roman" w:hAnsi="Times New Roman" w:eastAsia="宋体" w:cs="Times New Roman"/>
                <w:color w:val="auto"/>
                <w:kern w:val="0"/>
                <w:sz w:val="24"/>
                <w:highlight w:val="none"/>
                <w:vertAlign w:val="superscript"/>
                <w:lang w:val="en-US" w:eastAsia="zh-CN"/>
              </w:rPr>
              <w:t>-6</w:t>
            </w:r>
            <w:r>
              <w:rPr>
                <w:rFonts w:hint="default" w:ascii="Times New Roman" w:hAnsi="Times New Roman" w:eastAsia="宋体" w:cs="Times New Roman"/>
                <w:color w:val="auto"/>
                <w:kern w:val="0"/>
                <w:sz w:val="24"/>
                <w:highlight w:val="none"/>
                <w:lang w:val="en-US" w:eastAsia="zh-CN"/>
              </w:rPr>
              <w:t>/（NV·ε）</w:t>
            </w:r>
          </w:p>
          <w:p w14:paraId="259AF56C">
            <w:pPr>
              <w:autoSpaceDE w:val="0"/>
              <w:autoSpaceDN w:val="0"/>
              <w:adjustRightInd w:val="0"/>
              <w:spacing w:line="360" w:lineRule="auto"/>
              <w:jc w:val="both"/>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其中，m——涂料用量（t/a）；</w:t>
            </w:r>
          </w:p>
          <w:p w14:paraId="57045B57">
            <w:pPr>
              <w:autoSpaceDE w:val="0"/>
              <w:autoSpaceDN w:val="0"/>
              <w:adjustRightInd w:val="0"/>
              <w:spacing w:line="360" w:lineRule="auto"/>
              <w:ind w:firstLine="720" w:firstLineChars="3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ρ——该涂料密度，单位：g/cm</w:t>
            </w:r>
            <w:r>
              <w:rPr>
                <w:rFonts w:hint="default" w:ascii="Times New Roman" w:hAnsi="Times New Roman" w:eastAsia="宋体" w:cs="Times New Roman"/>
                <w:color w:val="auto"/>
                <w:kern w:val="0"/>
                <w:sz w:val="24"/>
                <w:highlight w:val="none"/>
                <w:vertAlign w:val="superscript"/>
                <w:lang w:val="en-US" w:eastAsia="zh-CN"/>
              </w:rPr>
              <w:t>3</w:t>
            </w:r>
            <w:r>
              <w:rPr>
                <w:rFonts w:hint="default" w:ascii="Times New Roman" w:hAnsi="Times New Roman" w:eastAsia="宋体" w:cs="Times New Roman"/>
                <w:color w:val="auto"/>
                <w:kern w:val="0"/>
                <w:sz w:val="24"/>
                <w:highlight w:val="none"/>
                <w:lang w:val="en-US" w:eastAsia="zh-CN"/>
              </w:rPr>
              <w:t>；</w:t>
            </w:r>
          </w:p>
          <w:p w14:paraId="1A358659">
            <w:pPr>
              <w:autoSpaceDE w:val="0"/>
              <w:autoSpaceDN w:val="0"/>
              <w:adjustRightInd w:val="0"/>
              <w:spacing w:line="360" w:lineRule="auto"/>
              <w:ind w:firstLine="720" w:firstLineChars="3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δ——涂料厚度（μm）；</w:t>
            </w:r>
          </w:p>
          <w:p w14:paraId="70C69769">
            <w:pPr>
              <w:autoSpaceDE w:val="0"/>
              <w:autoSpaceDN w:val="0"/>
              <w:adjustRightInd w:val="0"/>
              <w:spacing w:line="360" w:lineRule="auto"/>
              <w:ind w:firstLine="720" w:firstLineChars="3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s——涂装面积（m</w:t>
            </w:r>
            <w:r>
              <w:rPr>
                <w:rFonts w:hint="default" w:ascii="Times New Roman" w:hAnsi="Times New Roman" w:eastAsia="宋体" w:cs="Times New Roman"/>
                <w:color w:val="auto"/>
                <w:kern w:val="0"/>
                <w:sz w:val="24"/>
                <w:highlight w:val="none"/>
                <w:vertAlign w:val="superscript"/>
                <w:lang w:val="en-US" w:eastAsia="zh-CN"/>
              </w:rPr>
              <w:t>2</w:t>
            </w:r>
            <w:r>
              <w:rPr>
                <w:rFonts w:hint="default" w:ascii="Times New Roman" w:hAnsi="Times New Roman" w:eastAsia="宋体" w:cs="Times New Roman"/>
                <w:color w:val="auto"/>
                <w:kern w:val="0"/>
                <w:sz w:val="24"/>
                <w:highlight w:val="none"/>
                <w:lang w:val="en-US" w:eastAsia="zh-CN"/>
              </w:rPr>
              <w:t>）；</w:t>
            </w:r>
          </w:p>
          <w:p w14:paraId="57B7B39A">
            <w:pPr>
              <w:autoSpaceDE w:val="0"/>
              <w:autoSpaceDN w:val="0"/>
              <w:adjustRightInd w:val="0"/>
              <w:spacing w:line="360" w:lineRule="auto"/>
              <w:ind w:firstLine="720" w:firstLineChars="3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NV—涂料中的固体含量（%）；</w:t>
            </w:r>
          </w:p>
          <w:p w14:paraId="40BA656B">
            <w:pPr>
              <w:autoSpaceDE w:val="0"/>
              <w:autoSpaceDN w:val="0"/>
              <w:adjustRightInd w:val="0"/>
              <w:spacing w:line="360" w:lineRule="auto"/>
              <w:ind w:firstLine="720" w:firstLineChars="3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ε——附着率；</w:t>
            </w:r>
          </w:p>
          <w:p w14:paraId="2CF4D1C9">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w:t>
            </w:r>
            <w:r>
              <w:rPr>
                <w:rFonts w:hint="eastAsia" w:cs="Times New Roman"/>
                <w:b/>
                <w:color w:val="auto"/>
                <w:sz w:val="21"/>
                <w:szCs w:val="21"/>
                <w:highlight w:val="none"/>
                <w:lang w:val="en-US" w:eastAsia="zh-CN"/>
              </w:rPr>
              <w:t>2-8</w:t>
            </w:r>
            <w:r>
              <w:rPr>
                <w:rFonts w:hint="default" w:ascii="Times New Roman" w:hAnsi="Times New Roman" w:eastAsia="宋体" w:cs="Times New Roman"/>
                <w:b/>
                <w:color w:val="auto"/>
                <w:sz w:val="21"/>
                <w:szCs w:val="21"/>
                <w:highlight w:val="none"/>
                <w:lang w:val="en-US" w:eastAsia="zh-CN"/>
              </w:rPr>
              <w:t xml:space="preserve">  涂料用量核算一览表</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1205"/>
              <w:gridCol w:w="895"/>
              <w:gridCol w:w="947"/>
              <w:gridCol w:w="861"/>
              <w:gridCol w:w="1073"/>
              <w:gridCol w:w="909"/>
              <w:gridCol w:w="817"/>
            </w:tblGrid>
            <w:tr w14:paraId="3432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pct"/>
                  <w:noWrap w:val="0"/>
                  <w:vAlign w:val="center"/>
                </w:tcPr>
                <w:p w14:paraId="6948E75D">
                  <w:pPr>
                    <w:pStyle w:val="66"/>
                    <w:ind w:firstLine="0" w:firstLineChars="0"/>
                    <w:jc w:val="center"/>
                    <w:rPr>
                      <w:rFonts w:hint="default"/>
                      <w:b/>
                      <w:bCs w:val="0"/>
                      <w:color w:val="auto"/>
                      <w:lang w:eastAsia="zh-CN"/>
                    </w:rPr>
                  </w:pPr>
                  <w:r>
                    <w:rPr>
                      <w:rFonts w:hint="default"/>
                      <w:b/>
                      <w:bCs w:val="0"/>
                      <w:color w:val="auto"/>
                      <w:lang w:eastAsia="zh-CN"/>
                    </w:rPr>
                    <w:t>用料种类</w:t>
                  </w:r>
                </w:p>
              </w:tc>
              <w:tc>
                <w:tcPr>
                  <w:tcW w:w="770" w:type="pct"/>
                  <w:noWrap w:val="0"/>
                  <w:vAlign w:val="center"/>
                </w:tcPr>
                <w:p w14:paraId="09493226">
                  <w:pPr>
                    <w:pStyle w:val="66"/>
                    <w:ind w:firstLine="0" w:firstLineChars="0"/>
                    <w:jc w:val="center"/>
                    <w:rPr>
                      <w:rFonts w:hint="default"/>
                      <w:b/>
                      <w:bCs w:val="0"/>
                      <w:color w:val="auto"/>
                      <w:lang w:eastAsia="zh-CN"/>
                    </w:rPr>
                  </w:pPr>
                  <w:r>
                    <w:rPr>
                      <w:rFonts w:hint="default"/>
                      <w:b/>
                      <w:bCs w:val="0"/>
                      <w:color w:val="auto"/>
                      <w:lang w:eastAsia="zh-CN"/>
                    </w:rPr>
                    <w:t>喷涂件数量（万</w:t>
                  </w:r>
                  <w:r>
                    <w:rPr>
                      <w:rFonts w:hint="default"/>
                      <w:b/>
                      <w:bCs w:val="0"/>
                      <w:color w:val="auto"/>
                      <w:lang w:val="en-US" w:eastAsia="zh-CN"/>
                    </w:rPr>
                    <w:t>件</w:t>
                  </w:r>
                  <w:r>
                    <w:rPr>
                      <w:rFonts w:hint="default"/>
                      <w:b/>
                      <w:bCs w:val="0"/>
                      <w:color w:val="auto"/>
                      <w:lang w:eastAsia="zh-CN"/>
                    </w:rPr>
                    <w:t>/a）</w:t>
                  </w:r>
                </w:p>
              </w:tc>
              <w:tc>
                <w:tcPr>
                  <w:tcW w:w="572" w:type="pct"/>
                  <w:noWrap w:val="0"/>
                  <w:vAlign w:val="center"/>
                </w:tcPr>
                <w:p w14:paraId="2F9619C0">
                  <w:pPr>
                    <w:pStyle w:val="66"/>
                    <w:ind w:firstLine="0" w:firstLineChars="0"/>
                    <w:jc w:val="center"/>
                    <w:rPr>
                      <w:rFonts w:hint="default"/>
                      <w:b/>
                      <w:bCs w:val="0"/>
                      <w:color w:val="auto"/>
                      <w:lang w:eastAsia="zh-CN"/>
                    </w:rPr>
                  </w:pPr>
                  <w:r>
                    <w:rPr>
                      <w:rFonts w:hint="default"/>
                      <w:b/>
                      <w:bCs w:val="0"/>
                      <w:color w:val="auto"/>
                      <w:lang w:eastAsia="zh-CN"/>
                    </w:rPr>
                    <w:t>喷涂面积（m</w:t>
                  </w:r>
                  <w:r>
                    <w:rPr>
                      <w:rFonts w:hint="default"/>
                      <w:b/>
                      <w:bCs w:val="0"/>
                      <w:color w:val="auto"/>
                      <w:vertAlign w:val="superscript"/>
                      <w:lang w:eastAsia="zh-CN"/>
                    </w:rPr>
                    <w:t>2</w:t>
                  </w:r>
                  <w:r>
                    <w:rPr>
                      <w:rFonts w:hint="default"/>
                      <w:b/>
                      <w:bCs w:val="0"/>
                      <w:color w:val="auto"/>
                      <w:lang w:eastAsia="zh-CN"/>
                    </w:rPr>
                    <w:t>）</w:t>
                  </w:r>
                </w:p>
              </w:tc>
              <w:tc>
                <w:tcPr>
                  <w:tcW w:w="605" w:type="pct"/>
                  <w:noWrap w:val="0"/>
                  <w:vAlign w:val="center"/>
                </w:tcPr>
                <w:p w14:paraId="302A00A4">
                  <w:pPr>
                    <w:pStyle w:val="66"/>
                    <w:ind w:firstLine="0" w:firstLineChars="0"/>
                    <w:jc w:val="center"/>
                    <w:rPr>
                      <w:rFonts w:hint="default"/>
                      <w:b/>
                      <w:bCs w:val="0"/>
                      <w:color w:val="auto"/>
                      <w:lang w:eastAsia="zh-CN"/>
                    </w:rPr>
                  </w:pPr>
                  <w:r>
                    <w:rPr>
                      <w:rFonts w:hint="default"/>
                      <w:b/>
                      <w:bCs w:val="0"/>
                      <w:color w:val="auto"/>
                      <w:lang w:eastAsia="zh-CN"/>
                    </w:rPr>
                    <w:t>涂层厚度（μm）</w:t>
                  </w:r>
                </w:p>
              </w:tc>
              <w:tc>
                <w:tcPr>
                  <w:tcW w:w="550" w:type="pct"/>
                  <w:noWrap w:val="0"/>
                  <w:vAlign w:val="center"/>
                </w:tcPr>
                <w:p w14:paraId="599666E1">
                  <w:pPr>
                    <w:pStyle w:val="66"/>
                    <w:ind w:firstLine="0" w:firstLineChars="0"/>
                    <w:jc w:val="center"/>
                    <w:rPr>
                      <w:rFonts w:hint="default"/>
                      <w:b/>
                      <w:bCs w:val="0"/>
                      <w:color w:val="auto"/>
                      <w:lang w:eastAsia="zh-CN"/>
                    </w:rPr>
                  </w:pPr>
                  <w:r>
                    <w:rPr>
                      <w:rFonts w:hint="default"/>
                      <w:b/>
                      <w:bCs w:val="0"/>
                      <w:color w:val="auto"/>
                      <w:lang w:eastAsia="zh-CN"/>
                    </w:rPr>
                    <w:t>附着率</w:t>
                  </w:r>
                </w:p>
              </w:tc>
              <w:tc>
                <w:tcPr>
                  <w:tcW w:w="686" w:type="pct"/>
                  <w:noWrap w:val="0"/>
                  <w:vAlign w:val="center"/>
                </w:tcPr>
                <w:p w14:paraId="054A5185">
                  <w:pPr>
                    <w:pStyle w:val="66"/>
                    <w:ind w:firstLine="0" w:firstLineChars="0"/>
                    <w:jc w:val="center"/>
                    <w:rPr>
                      <w:rFonts w:hint="default"/>
                      <w:b/>
                      <w:bCs w:val="0"/>
                      <w:color w:val="auto"/>
                      <w:lang w:eastAsia="zh-CN"/>
                    </w:rPr>
                  </w:pPr>
                  <w:r>
                    <w:rPr>
                      <w:rFonts w:hint="eastAsia"/>
                      <w:b/>
                      <w:bCs w:val="0"/>
                      <w:color w:val="auto"/>
                      <w:lang w:eastAsia="zh-CN"/>
                    </w:rPr>
                    <w:t>涂料</w:t>
                  </w:r>
                  <w:r>
                    <w:rPr>
                      <w:rFonts w:hint="default"/>
                      <w:b/>
                      <w:bCs w:val="0"/>
                      <w:color w:val="auto"/>
                      <w:lang w:eastAsia="zh-CN"/>
                    </w:rPr>
                    <w:t>密度（g/cm</w:t>
                  </w:r>
                  <w:r>
                    <w:rPr>
                      <w:rFonts w:hint="default"/>
                      <w:b/>
                      <w:bCs w:val="0"/>
                      <w:color w:val="auto"/>
                      <w:vertAlign w:val="superscript"/>
                      <w:lang w:eastAsia="zh-CN"/>
                    </w:rPr>
                    <w:t>3</w:t>
                  </w:r>
                  <w:r>
                    <w:rPr>
                      <w:rFonts w:hint="default"/>
                      <w:b/>
                      <w:bCs w:val="0"/>
                      <w:color w:val="auto"/>
                      <w:lang w:eastAsia="zh-CN"/>
                    </w:rPr>
                    <w:t>）</w:t>
                  </w:r>
                </w:p>
              </w:tc>
              <w:tc>
                <w:tcPr>
                  <w:tcW w:w="581" w:type="pct"/>
                  <w:noWrap w:val="0"/>
                  <w:vAlign w:val="center"/>
                </w:tcPr>
                <w:p w14:paraId="486C697E">
                  <w:pPr>
                    <w:pStyle w:val="66"/>
                    <w:ind w:firstLine="0" w:firstLineChars="0"/>
                    <w:jc w:val="center"/>
                    <w:rPr>
                      <w:rFonts w:hint="default"/>
                      <w:b/>
                      <w:bCs w:val="0"/>
                      <w:color w:val="auto"/>
                      <w:lang w:eastAsia="zh-CN"/>
                    </w:rPr>
                  </w:pPr>
                  <w:r>
                    <w:rPr>
                      <w:rFonts w:hint="default"/>
                      <w:b/>
                      <w:bCs w:val="0"/>
                      <w:color w:val="auto"/>
                      <w:lang w:eastAsia="zh-CN"/>
                    </w:rPr>
                    <w:t>固体份含量</w:t>
                  </w:r>
                </w:p>
              </w:tc>
              <w:tc>
                <w:tcPr>
                  <w:tcW w:w="522" w:type="pct"/>
                  <w:noWrap w:val="0"/>
                  <w:vAlign w:val="center"/>
                </w:tcPr>
                <w:p w14:paraId="4F673B49">
                  <w:pPr>
                    <w:pStyle w:val="66"/>
                    <w:ind w:firstLine="0" w:firstLineChars="0"/>
                    <w:jc w:val="center"/>
                    <w:rPr>
                      <w:rFonts w:hint="default"/>
                      <w:b/>
                      <w:bCs w:val="0"/>
                      <w:color w:val="auto"/>
                      <w:lang w:eastAsia="zh-CN"/>
                    </w:rPr>
                  </w:pPr>
                  <w:r>
                    <w:rPr>
                      <w:rFonts w:hint="default"/>
                      <w:b/>
                      <w:bCs w:val="0"/>
                      <w:color w:val="auto"/>
                      <w:lang w:eastAsia="zh-CN"/>
                    </w:rPr>
                    <w:t>用量（t/a）</w:t>
                  </w:r>
                </w:p>
              </w:tc>
            </w:tr>
            <w:tr w14:paraId="7C99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9" w:type="pct"/>
                  <w:noWrap w:val="0"/>
                  <w:vAlign w:val="center"/>
                </w:tcPr>
                <w:p w14:paraId="106B0B85">
                  <w:pPr>
                    <w:pStyle w:val="66"/>
                    <w:ind w:firstLine="0" w:firstLineChars="0"/>
                    <w:jc w:val="center"/>
                    <w:rPr>
                      <w:rFonts w:hint="default"/>
                      <w:color w:val="auto"/>
                      <w:lang w:val="en-US" w:eastAsia="zh-CN"/>
                    </w:rPr>
                  </w:pPr>
                  <w:r>
                    <w:rPr>
                      <w:rFonts w:hint="eastAsia"/>
                      <w:color w:val="auto"/>
                      <w:lang w:eastAsia="zh-CN"/>
                    </w:rPr>
                    <w:t>水性</w:t>
                  </w:r>
                  <w:r>
                    <w:rPr>
                      <w:rFonts w:hint="eastAsia"/>
                      <w:color w:val="auto"/>
                      <w:lang w:val="en-US" w:eastAsia="zh-CN"/>
                    </w:rPr>
                    <w:t>面</w:t>
                  </w:r>
                  <w:r>
                    <w:rPr>
                      <w:rFonts w:hint="eastAsia"/>
                      <w:color w:val="auto"/>
                      <w:lang w:eastAsia="zh-CN"/>
                    </w:rPr>
                    <w:t>漆</w:t>
                  </w:r>
                </w:p>
              </w:tc>
              <w:tc>
                <w:tcPr>
                  <w:tcW w:w="770" w:type="pct"/>
                  <w:noWrap w:val="0"/>
                  <w:vAlign w:val="center"/>
                </w:tcPr>
                <w:p w14:paraId="0B590435">
                  <w:pPr>
                    <w:pStyle w:val="66"/>
                    <w:ind w:firstLine="0" w:firstLineChars="0"/>
                    <w:jc w:val="center"/>
                    <w:rPr>
                      <w:rFonts w:hint="default"/>
                      <w:color w:val="auto"/>
                      <w:lang w:val="en-US" w:eastAsia="zh-CN"/>
                    </w:rPr>
                  </w:pPr>
                  <w:r>
                    <w:rPr>
                      <w:rFonts w:hint="eastAsia"/>
                      <w:color w:val="auto"/>
                      <w:lang w:val="en-US" w:eastAsia="zh-CN"/>
                    </w:rPr>
                    <w:t>30</w:t>
                  </w:r>
                </w:p>
              </w:tc>
              <w:tc>
                <w:tcPr>
                  <w:tcW w:w="572" w:type="pct"/>
                  <w:noWrap w:val="0"/>
                  <w:vAlign w:val="center"/>
                </w:tcPr>
                <w:p w14:paraId="35E9D465">
                  <w:pPr>
                    <w:pStyle w:val="66"/>
                    <w:ind w:firstLine="0" w:firstLineChars="0"/>
                    <w:jc w:val="center"/>
                    <w:rPr>
                      <w:rFonts w:hint="default"/>
                      <w:color w:val="auto"/>
                      <w:lang w:val="en-US" w:eastAsia="zh-CN"/>
                    </w:rPr>
                  </w:pPr>
                  <w:r>
                    <w:rPr>
                      <w:rFonts w:hint="eastAsia"/>
                      <w:color w:val="auto"/>
                      <w:lang w:val="en-US" w:eastAsia="zh-CN"/>
                    </w:rPr>
                    <w:t>113040</w:t>
                  </w:r>
                </w:p>
              </w:tc>
              <w:tc>
                <w:tcPr>
                  <w:tcW w:w="605" w:type="pct"/>
                  <w:noWrap w:val="0"/>
                  <w:vAlign w:val="center"/>
                </w:tcPr>
                <w:p w14:paraId="12553FB0">
                  <w:pPr>
                    <w:pStyle w:val="66"/>
                    <w:ind w:firstLine="0" w:firstLineChars="0"/>
                    <w:jc w:val="center"/>
                    <w:rPr>
                      <w:rFonts w:hint="default"/>
                      <w:color w:val="auto"/>
                      <w:lang w:val="en-US" w:eastAsia="zh-CN"/>
                    </w:rPr>
                  </w:pPr>
                  <w:r>
                    <w:rPr>
                      <w:rFonts w:hint="eastAsia"/>
                      <w:color w:val="auto"/>
                      <w:lang w:val="en-US" w:eastAsia="zh-CN"/>
                    </w:rPr>
                    <w:t>20</w:t>
                  </w:r>
                </w:p>
              </w:tc>
              <w:tc>
                <w:tcPr>
                  <w:tcW w:w="550" w:type="pct"/>
                  <w:noWrap w:val="0"/>
                  <w:vAlign w:val="center"/>
                </w:tcPr>
                <w:p w14:paraId="071D9D09">
                  <w:pPr>
                    <w:pStyle w:val="66"/>
                    <w:ind w:firstLine="0" w:firstLineChars="0"/>
                    <w:jc w:val="center"/>
                    <w:rPr>
                      <w:rFonts w:hint="default"/>
                      <w:color w:val="auto"/>
                      <w:lang w:val="en-US" w:eastAsia="zh-CN"/>
                    </w:rPr>
                  </w:pPr>
                  <w:r>
                    <w:rPr>
                      <w:rFonts w:hint="eastAsia"/>
                      <w:color w:val="auto"/>
                      <w:lang w:val="en-US" w:eastAsia="zh-CN"/>
                    </w:rPr>
                    <w:t>7</w:t>
                  </w:r>
                  <w:r>
                    <w:rPr>
                      <w:rFonts w:hint="default"/>
                      <w:color w:val="auto"/>
                      <w:lang w:eastAsia="zh-CN"/>
                    </w:rPr>
                    <w:t>0%</w:t>
                  </w:r>
                </w:p>
              </w:tc>
              <w:tc>
                <w:tcPr>
                  <w:tcW w:w="686" w:type="pct"/>
                  <w:noWrap w:val="0"/>
                  <w:vAlign w:val="center"/>
                </w:tcPr>
                <w:p w14:paraId="3348CBD6">
                  <w:pPr>
                    <w:pStyle w:val="66"/>
                    <w:ind w:firstLine="0" w:firstLineChars="0"/>
                    <w:jc w:val="center"/>
                    <w:rPr>
                      <w:rFonts w:hint="default"/>
                      <w:color w:val="auto"/>
                      <w:lang w:val="en-US" w:eastAsia="zh-CN"/>
                    </w:rPr>
                  </w:pPr>
                  <w:r>
                    <w:rPr>
                      <w:rFonts w:hint="eastAsia"/>
                      <w:color w:val="auto"/>
                      <w:lang w:val="en-US" w:eastAsia="zh-CN"/>
                    </w:rPr>
                    <w:t>1.296</w:t>
                  </w:r>
                </w:p>
              </w:tc>
              <w:tc>
                <w:tcPr>
                  <w:tcW w:w="581" w:type="pct"/>
                  <w:noWrap w:val="0"/>
                  <w:vAlign w:val="center"/>
                </w:tcPr>
                <w:p w14:paraId="46B49A3E">
                  <w:pPr>
                    <w:pStyle w:val="66"/>
                    <w:ind w:firstLine="0" w:firstLineChars="0"/>
                    <w:jc w:val="center"/>
                    <w:rPr>
                      <w:rFonts w:hint="default"/>
                      <w:color w:val="auto"/>
                      <w:lang w:val="en-US" w:eastAsia="zh-CN"/>
                    </w:rPr>
                  </w:pPr>
                  <w:r>
                    <w:rPr>
                      <w:rFonts w:hint="eastAsia"/>
                      <w:color w:val="auto"/>
                      <w:lang w:val="en-US" w:eastAsia="zh-CN"/>
                    </w:rPr>
                    <w:t>89.56</w:t>
                  </w:r>
                  <w:r>
                    <w:rPr>
                      <w:rFonts w:hint="default"/>
                      <w:color w:val="auto"/>
                      <w:lang w:eastAsia="zh-CN"/>
                    </w:rPr>
                    <w:t>%</w:t>
                  </w:r>
                </w:p>
              </w:tc>
              <w:tc>
                <w:tcPr>
                  <w:tcW w:w="522" w:type="pct"/>
                  <w:noWrap w:val="0"/>
                  <w:vAlign w:val="center"/>
                </w:tcPr>
                <w:p w14:paraId="6BB116FD">
                  <w:pPr>
                    <w:pStyle w:val="66"/>
                    <w:ind w:firstLine="0" w:firstLineChars="0"/>
                    <w:jc w:val="center"/>
                    <w:rPr>
                      <w:rFonts w:hint="default"/>
                      <w:color w:val="auto"/>
                      <w:lang w:val="en-US" w:eastAsia="zh-CN"/>
                    </w:rPr>
                  </w:pPr>
                  <w:r>
                    <w:rPr>
                      <w:rFonts w:hint="eastAsia"/>
                      <w:color w:val="auto"/>
                      <w:lang w:val="en-US" w:eastAsia="zh-CN"/>
                    </w:rPr>
                    <w:t>4.67</w:t>
                  </w:r>
                </w:p>
              </w:tc>
            </w:tr>
          </w:tbl>
          <w:p w14:paraId="2EA907DC">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水性漆用漆量为4.67</w:t>
            </w:r>
            <w:r>
              <w:rPr>
                <w:rFonts w:hint="eastAsia" w:cs="Times New Roman"/>
                <w:color w:val="auto"/>
                <w:kern w:val="0"/>
                <w:sz w:val="24"/>
                <w:szCs w:val="24"/>
                <w:highlight w:val="none"/>
                <w:lang w:val="en-US" w:eastAsia="zh-CN" w:bidi="ar-SA"/>
              </w:rPr>
              <w:t>t/a</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highlight w:val="none"/>
                <w:lang w:val="en-US" w:eastAsia="zh-CN"/>
              </w:rPr>
              <w:t>施用状态使用的水性漆密度</w:t>
            </w:r>
            <w:r>
              <w:rPr>
                <w:rFonts w:hint="default" w:ascii="Times New Roman" w:hAnsi="Times New Roman" w:eastAsia="宋体" w:cs="Times New Roman"/>
                <w:color w:val="auto"/>
                <w:kern w:val="0"/>
                <w:sz w:val="24"/>
                <w:szCs w:val="24"/>
                <w:highlight w:val="none"/>
                <w:lang w:val="en-US" w:eastAsia="zh-CN" w:bidi="ar-SA"/>
              </w:rPr>
              <w:t>密度为1.</w:t>
            </w:r>
            <w:r>
              <w:rPr>
                <w:rFonts w:hint="eastAsia" w:cs="Times New Roman"/>
                <w:color w:val="auto"/>
                <w:kern w:val="0"/>
                <w:sz w:val="24"/>
                <w:szCs w:val="24"/>
                <w:highlight w:val="none"/>
                <w:lang w:val="en-US" w:eastAsia="zh-CN" w:bidi="ar-SA"/>
              </w:rPr>
              <w:t>296</w:t>
            </w:r>
            <w:r>
              <w:rPr>
                <w:rFonts w:hint="default" w:ascii="Times New Roman" w:hAnsi="Times New Roman" w:eastAsia="宋体" w:cs="Times New Roman"/>
                <w:color w:val="auto"/>
                <w:kern w:val="0"/>
                <w:sz w:val="24"/>
                <w:szCs w:val="24"/>
                <w:highlight w:val="none"/>
                <w:lang w:val="en-US" w:eastAsia="zh-CN" w:bidi="ar-SA"/>
              </w:rPr>
              <w:t>g/cm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w:t>
            </w:r>
            <w:r>
              <w:rPr>
                <w:rFonts w:hint="eastAsia" w:ascii="Times New Roman" w:hAnsi="Times New Roman" w:eastAsia="宋体" w:cs="Times New Roman"/>
                <w:color w:val="auto"/>
                <w:kern w:val="0"/>
                <w:sz w:val="24"/>
                <w:szCs w:val="24"/>
                <w:highlight w:val="none"/>
                <w:lang w:val="en-US" w:eastAsia="zh-CN" w:bidi="ar-SA"/>
              </w:rPr>
              <w:t>漆料中</w:t>
            </w:r>
            <w:r>
              <w:rPr>
                <w:rFonts w:hint="default" w:ascii="Times New Roman" w:hAnsi="Times New Roman" w:eastAsia="宋体" w:cs="Times New Roman"/>
                <w:color w:val="auto"/>
                <w:kern w:val="0"/>
                <w:sz w:val="24"/>
                <w:szCs w:val="24"/>
                <w:highlight w:val="none"/>
                <w:lang w:val="en-US" w:eastAsia="zh-CN" w:bidi="ar-SA"/>
              </w:rPr>
              <w:t>挥发性有机物VOC</w:t>
            </w:r>
            <w:r>
              <w:rPr>
                <w:rFonts w:hint="eastAsia" w:ascii="Times New Roman" w:hAnsi="Times New Roman" w:eastAsia="宋体" w:cs="Times New Roman"/>
                <w:color w:val="auto"/>
                <w:kern w:val="0"/>
                <w:sz w:val="24"/>
                <w:szCs w:val="24"/>
                <w:highlight w:val="none"/>
                <w:vertAlign w:val="subscript"/>
                <w:lang w:val="en-US" w:eastAsia="zh-CN" w:bidi="ar-SA"/>
              </w:rPr>
              <w:t>S</w:t>
            </w:r>
            <w:r>
              <w:rPr>
                <w:rFonts w:hint="default" w:ascii="Times New Roman" w:hAnsi="Times New Roman" w:eastAsia="宋体" w:cs="Times New Roman"/>
                <w:color w:val="auto"/>
                <w:kern w:val="0"/>
                <w:sz w:val="24"/>
                <w:szCs w:val="24"/>
                <w:highlight w:val="none"/>
                <w:lang w:val="en-US" w:eastAsia="zh-CN" w:bidi="ar-SA"/>
              </w:rPr>
              <w:t>含量为</w:t>
            </w:r>
            <w:r>
              <w:rPr>
                <w:rFonts w:hint="eastAsia" w:cs="Times New Roman"/>
                <w:color w:val="auto"/>
                <w:kern w:val="0"/>
                <w:sz w:val="24"/>
                <w:highlight w:val="none"/>
                <w:lang w:val="en-US" w:eastAsia="zh-CN"/>
              </w:rPr>
              <w:t>119.076</w:t>
            </w:r>
            <w:r>
              <w:rPr>
                <w:rFonts w:hint="default" w:ascii="Times New Roman" w:hAnsi="Times New Roman" w:eastAsia="宋体" w:cs="Times New Roman"/>
                <w:color w:val="auto"/>
                <w:kern w:val="0"/>
                <w:sz w:val="24"/>
                <w:szCs w:val="24"/>
                <w:highlight w:val="none"/>
                <w:lang w:val="en-US" w:eastAsia="zh-CN" w:bidi="ar-SA"/>
              </w:rPr>
              <w:t>g/L，则VOC</w:t>
            </w:r>
            <w:r>
              <w:rPr>
                <w:rFonts w:hint="eastAsia" w:ascii="Times New Roman" w:hAnsi="Times New Roman" w:eastAsia="宋体" w:cs="Times New Roman"/>
                <w:color w:val="auto"/>
                <w:kern w:val="0"/>
                <w:sz w:val="24"/>
                <w:szCs w:val="24"/>
                <w:highlight w:val="none"/>
                <w:vertAlign w:val="subscript"/>
                <w:lang w:val="en-US" w:eastAsia="zh-CN" w:bidi="ar-SA"/>
              </w:rPr>
              <w:t>S</w:t>
            </w:r>
            <w:r>
              <w:rPr>
                <w:rFonts w:hint="eastAsia" w:ascii="Times New Roman" w:hAnsi="Times New Roman" w:eastAsia="宋体" w:cs="Times New Roman"/>
                <w:color w:val="auto"/>
                <w:kern w:val="0"/>
                <w:sz w:val="24"/>
                <w:szCs w:val="24"/>
                <w:highlight w:val="none"/>
                <w:lang w:val="en-US" w:eastAsia="zh-CN" w:bidi="ar-SA"/>
              </w:rPr>
              <w:t>产生量</w:t>
            </w:r>
            <w:r>
              <w:rPr>
                <w:rFonts w:hint="default" w:ascii="Times New Roman" w:hAnsi="Times New Roman" w:eastAsia="宋体" w:cs="Times New Roman"/>
                <w:color w:val="auto"/>
                <w:kern w:val="0"/>
                <w:sz w:val="24"/>
                <w:szCs w:val="24"/>
                <w:highlight w:val="none"/>
                <w:lang w:val="en-US" w:eastAsia="zh-CN" w:bidi="ar-SA"/>
              </w:rPr>
              <w:t>：4.67×10</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kg/1.</w:t>
            </w:r>
            <w:r>
              <w:rPr>
                <w:rFonts w:hint="eastAsia" w:cs="Times New Roman"/>
                <w:color w:val="auto"/>
                <w:kern w:val="0"/>
                <w:sz w:val="24"/>
                <w:szCs w:val="24"/>
                <w:highlight w:val="none"/>
                <w:lang w:val="en-US" w:eastAsia="zh-CN" w:bidi="ar-SA"/>
              </w:rPr>
              <w:t>296</w:t>
            </w:r>
            <w:r>
              <w:rPr>
                <w:rFonts w:hint="default" w:ascii="Times New Roman" w:hAnsi="Times New Roman" w:eastAsia="宋体" w:cs="Times New Roman"/>
                <w:color w:val="auto"/>
                <w:kern w:val="0"/>
                <w:sz w:val="24"/>
                <w:szCs w:val="24"/>
                <w:highlight w:val="none"/>
                <w:lang w:val="en-US" w:eastAsia="zh-CN" w:bidi="ar-SA"/>
              </w:rPr>
              <w:t>g/cm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highlight w:val="none"/>
                <w:lang w:val="en-US" w:eastAsia="zh-CN"/>
              </w:rPr>
              <w:t>119.076</w:t>
            </w:r>
            <w:r>
              <w:rPr>
                <w:rFonts w:hint="default" w:ascii="Times New Roman" w:hAnsi="Times New Roman" w:eastAsia="宋体" w:cs="Times New Roman"/>
                <w:color w:val="auto"/>
                <w:kern w:val="0"/>
                <w:sz w:val="24"/>
                <w:szCs w:val="24"/>
                <w:highlight w:val="none"/>
                <w:lang w:val="en-US" w:eastAsia="zh-CN" w:bidi="ar-SA"/>
              </w:rPr>
              <w:t>g/L/10</w:t>
            </w:r>
            <w:r>
              <w:rPr>
                <w:rFonts w:hint="default" w:ascii="Times New Roman" w:hAnsi="Times New Roman" w:eastAsia="宋体" w:cs="Times New Roman"/>
                <w:color w:val="auto"/>
                <w:kern w:val="0"/>
                <w:sz w:val="24"/>
                <w:szCs w:val="24"/>
                <w:highlight w:val="none"/>
                <w:vertAlign w:val="superscript"/>
                <w:lang w:val="en-US" w:eastAsia="zh-CN" w:bidi="ar-SA"/>
              </w:rPr>
              <w:t>6</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0.429</w:t>
            </w:r>
            <w:r>
              <w:rPr>
                <w:rFonts w:hint="default" w:ascii="Times New Roman" w:hAnsi="Times New Roman" w:eastAsia="宋体" w:cs="Times New Roman"/>
                <w:color w:val="auto"/>
                <w:kern w:val="0"/>
                <w:sz w:val="24"/>
                <w:szCs w:val="24"/>
                <w:highlight w:val="none"/>
                <w:lang w:val="en-US" w:eastAsia="zh-CN" w:bidi="ar-SA"/>
              </w:rPr>
              <w:t>t/a。有机废气中9</w:t>
            </w:r>
            <w:r>
              <w:rPr>
                <w:rFonts w:hint="eastAsia" w:cs="Times New Roman"/>
                <w:color w:val="auto"/>
                <w:kern w:val="0"/>
                <w:sz w:val="24"/>
                <w:szCs w:val="24"/>
                <w:highlight w:val="none"/>
                <w:lang w:val="en-US" w:eastAsia="zh-CN" w:bidi="ar-SA"/>
              </w:rPr>
              <w:t>5</w:t>
            </w:r>
            <w:r>
              <w:rPr>
                <w:rFonts w:hint="default" w:ascii="Times New Roman" w:hAnsi="Times New Roman" w:eastAsia="宋体" w:cs="Times New Roman"/>
                <w:color w:val="auto"/>
                <w:kern w:val="0"/>
                <w:sz w:val="24"/>
                <w:szCs w:val="24"/>
                <w:highlight w:val="none"/>
                <w:lang w:val="en-US" w:eastAsia="zh-CN" w:bidi="ar-SA"/>
              </w:rPr>
              <w:t>%被收集处理（处理效率9</w:t>
            </w:r>
            <w:r>
              <w:rPr>
                <w:rFonts w:hint="eastAsia" w:cs="Times New Roman"/>
                <w:color w:val="auto"/>
                <w:kern w:val="0"/>
                <w:sz w:val="24"/>
                <w:szCs w:val="24"/>
                <w:highlight w:val="none"/>
                <w:lang w:val="en-US" w:eastAsia="zh-CN" w:bidi="ar-SA"/>
              </w:rPr>
              <w:t>0</w:t>
            </w:r>
            <w:r>
              <w:rPr>
                <w:rFonts w:hint="default" w:ascii="Times New Roman" w:hAnsi="Times New Roman" w:eastAsia="宋体" w:cs="Times New Roman"/>
                <w:color w:val="auto"/>
                <w:kern w:val="0"/>
                <w:sz w:val="24"/>
                <w:szCs w:val="24"/>
                <w:highlight w:val="none"/>
                <w:lang w:val="en-US" w:eastAsia="zh-CN" w:bidi="ar-SA"/>
              </w:rPr>
              <w:t>%）</w:t>
            </w:r>
            <w:r>
              <w:rPr>
                <w:rFonts w:hint="eastAsia" w:ascii="Times New Roman" w:hAnsi="Times New Roman" w:eastAsia="宋体" w:cs="Times New Roman"/>
                <w:color w:val="auto"/>
                <w:kern w:val="0"/>
                <w:sz w:val="24"/>
                <w:szCs w:val="24"/>
                <w:highlight w:val="none"/>
                <w:lang w:val="en-US" w:eastAsia="zh-CN" w:bidi="ar-SA"/>
              </w:rPr>
              <w:t>，则水性面漆喷漆工序产生的废气非甲烷总烃有组织产生量为</w:t>
            </w:r>
            <w:r>
              <w:rPr>
                <w:rFonts w:hint="eastAsia" w:cs="Times New Roman"/>
                <w:color w:val="auto"/>
                <w:kern w:val="0"/>
                <w:sz w:val="24"/>
                <w:szCs w:val="24"/>
                <w:highlight w:val="none"/>
                <w:lang w:val="en-US" w:eastAsia="zh-CN" w:bidi="ar-SA"/>
              </w:rPr>
              <w:t>0.408</w:t>
            </w:r>
            <w:r>
              <w:rPr>
                <w:rFonts w:hint="eastAsia" w:ascii="Times New Roman" w:hAnsi="Times New Roman" w:eastAsia="宋体" w:cs="Times New Roman"/>
                <w:color w:val="auto"/>
                <w:kern w:val="0"/>
                <w:sz w:val="24"/>
                <w:szCs w:val="24"/>
                <w:highlight w:val="none"/>
                <w:lang w:val="en-US" w:eastAsia="zh-CN" w:bidi="ar-SA"/>
              </w:rPr>
              <w:t>t/a，有组织排放量为</w:t>
            </w:r>
            <w:r>
              <w:rPr>
                <w:rFonts w:hint="eastAsia" w:cs="Times New Roman"/>
                <w:color w:val="auto"/>
                <w:kern w:val="0"/>
                <w:sz w:val="24"/>
                <w:szCs w:val="24"/>
                <w:highlight w:val="none"/>
                <w:lang w:val="en-US" w:eastAsia="zh-CN" w:bidi="ar-SA"/>
              </w:rPr>
              <w:t>0.041</w:t>
            </w:r>
            <w:r>
              <w:rPr>
                <w:rFonts w:hint="eastAsia" w:ascii="Times New Roman" w:hAnsi="Times New Roman" w:eastAsia="宋体" w:cs="Times New Roman"/>
                <w:color w:val="auto"/>
                <w:kern w:val="0"/>
                <w:sz w:val="24"/>
                <w:szCs w:val="24"/>
                <w:highlight w:val="none"/>
                <w:lang w:val="en-US" w:eastAsia="zh-CN" w:bidi="ar-SA"/>
              </w:rPr>
              <w:t>t/a</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5</w:t>
            </w:r>
            <w:r>
              <w:rPr>
                <w:rFonts w:hint="default" w:ascii="Times New Roman" w:hAnsi="Times New Roman" w:eastAsia="宋体" w:cs="Times New Roman"/>
                <w:color w:val="auto"/>
                <w:kern w:val="0"/>
                <w:sz w:val="24"/>
                <w:szCs w:val="24"/>
                <w:highlight w:val="none"/>
                <w:lang w:val="en-US" w:eastAsia="zh-CN" w:bidi="ar-SA"/>
              </w:rPr>
              <w:t>%无组织排放</w:t>
            </w:r>
            <w:r>
              <w:rPr>
                <w:rFonts w:hint="eastAsia" w:ascii="Times New Roman" w:hAnsi="Times New Roman" w:eastAsia="宋体" w:cs="Times New Roman"/>
                <w:color w:val="auto"/>
                <w:kern w:val="0"/>
                <w:sz w:val="24"/>
                <w:szCs w:val="24"/>
                <w:highlight w:val="none"/>
                <w:lang w:val="en-US" w:eastAsia="zh-CN" w:bidi="ar-SA"/>
              </w:rPr>
              <w:t>，非甲烷总烃无组织产生量为</w:t>
            </w:r>
            <w:r>
              <w:rPr>
                <w:rFonts w:hint="eastAsia" w:cs="Times New Roman"/>
                <w:color w:val="auto"/>
                <w:kern w:val="0"/>
                <w:sz w:val="24"/>
                <w:szCs w:val="24"/>
                <w:highlight w:val="none"/>
                <w:lang w:val="en-US" w:eastAsia="zh-CN" w:bidi="ar-SA"/>
              </w:rPr>
              <w:t>0.022</w:t>
            </w:r>
            <w:r>
              <w:rPr>
                <w:rFonts w:hint="eastAsia" w:ascii="Times New Roman" w:hAnsi="Times New Roman" w:eastAsia="宋体" w:cs="Times New Roman"/>
                <w:color w:val="auto"/>
                <w:kern w:val="0"/>
                <w:sz w:val="24"/>
                <w:szCs w:val="24"/>
                <w:highlight w:val="none"/>
                <w:lang w:val="en-US" w:eastAsia="zh-CN" w:bidi="ar-SA"/>
              </w:rPr>
              <w:t>t/a</w:t>
            </w:r>
            <w:r>
              <w:rPr>
                <w:rFonts w:hint="default" w:ascii="Times New Roman" w:hAnsi="Times New Roman" w:eastAsia="宋体" w:cs="Times New Roman"/>
                <w:color w:val="auto"/>
                <w:kern w:val="0"/>
                <w:sz w:val="24"/>
                <w:szCs w:val="24"/>
                <w:highlight w:val="none"/>
                <w:lang w:val="en-US" w:eastAsia="zh-CN" w:bidi="ar-SA"/>
              </w:rPr>
              <w:t>。</w:t>
            </w:r>
          </w:p>
          <w:p w14:paraId="4FFDF4C3">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固体组分总量</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4.67t/a×</w:t>
            </w:r>
            <w:r>
              <w:rPr>
                <w:rFonts w:hint="eastAsia" w:ascii="Times New Roman" w:hAnsi="Times New Roman" w:eastAsia="宋体" w:cs="Times New Roman"/>
                <w:color w:val="auto"/>
                <w:kern w:val="0"/>
                <w:sz w:val="24"/>
                <w:szCs w:val="24"/>
                <w:highlight w:val="none"/>
                <w:lang w:val="en-US" w:eastAsia="zh-CN" w:bidi="ar-SA"/>
              </w:rPr>
              <w:t>8</w:t>
            </w:r>
            <w:r>
              <w:rPr>
                <w:rFonts w:hint="eastAsia" w:cs="Times New Roman"/>
                <w:color w:val="auto"/>
                <w:kern w:val="0"/>
                <w:sz w:val="24"/>
                <w:szCs w:val="24"/>
                <w:highlight w:val="none"/>
                <w:lang w:val="en-US" w:eastAsia="zh-CN" w:bidi="ar-SA"/>
              </w:rPr>
              <w:t>9.56</w:t>
            </w:r>
            <w:r>
              <w:rPr>
                <w:rFonts w:hint="eastAsia"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4.18</w:t>
            </w:r>
            <w:r>
              <w:rPr>
                <w:rFonts w:hint="default" w:ascii="Times New Roman" w:hAnsi="Times New Roman" w:eastAsia="宋体" w:cs="Times New Roman"/>
                <w:color w:val="auto"/>
                <w:kern w:val="0"/>
                <w:sz w:val="24"/>
                <w:szCs w:val="24"/>
                <w:highlight w:val="none"/>
                <w:lang w:val="en-US" w:eastAsia="zh-CN" w:bidi="ar-SA"/>
              </w:rPr>
              <w:t>/a</w:t>
            </w:r>
            <w:r>
              <w:rPr>
                <w:rFonts w:hint="eastAsia"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水分</w:t>
            </w:r>
            <w:r>
              <w:rPr>
                <w:rFonts w:hint="eastAsia" w:ascii="Times New Roman" w:hAnsi="Times New Roman" w:eastAsia="宋体" w:cs="Times New Roman"/>
                <w:color w:val="auto"/>
                <w:kern w:val="0"/>
                <w:sz w:val="24"/>
                <w:szCs w:val="24"/>
                <w:highlight w:val="none"/>
                <w:lang w:val="en-US" w:eastAsia="zh-CN" w:bidi="ar-SA"/>
              </w:rPr>
              <w:t>为</w:t>
            </w:r>
            <w:r>
              <w:rPr>
                <w:rFonts w:hint="eastAsia" w:cs="Times New Roman"/>
                <w:color w:val="auto"/>
                <w:kern w:val="0"/>
                <w:sz w:val="24"/>
                <w:szCs w:val="24"/>
                <w:highlight w:val="none"/>
                <w:lang w:val="en-US" w:eastAsia="zh-CN" w:bidi="ar-SA"/>
              </w:rPr>
              <w:t>0.061</w:t>
            </w:r>
            <w:r>
              <w:rPr>
                <w:rFonts w:hint="default" w:ascii="Times New Roman" w:hAnsi="Times New Roman" w:eastAsia="宋体" w:cs="Times New Roman"/>
                <w:color w:val="auto"/>
                <w:kern w:val="0"/>
                <w:sz w:val="24"/>
                <w:szCs w:val="24"/>
                <w:highlight w:val="none"/>
                <w:lang w:val="en-US" w:eastAsia="zh-CN" w:bidi="ar-SA"/>
              </w:rPr>
              <w:t>t/a</w:t>
            </w:r>
            <w:r>
              <w:rPr>
                <w:rFonts w:hint="eastAsia" w:ascii="Times New Roman" w:hAnsi="Times New Roman" w:eastAsia="宋体" w:cs="Times New Roman"/>
                <w:color w:val="auto"/>
                <w:kern w:val="0"/>
                <w:sz w:val="24"/>
                <w:szCs w:val="24"/>
                <w:highlight w:val="none"/>
                <w:lang w:val="en-US" w:eastAsia="zh-CN" w:bidi="ar-SA"/>
              </w:rPr>
              <w:t>；水性面漆</w:t>
            </w:r>
            <w:r>
              <w:rPr>
                <w:rFonts w:hint="default" w:ascii="Times New Roman" w:hAnsi="Times New Roman" w:eastAsia="宋体" w:cs="Times New Roman"/>
                <w:color w:val="auto"/>
                <w:kern w:val="0"/>
                <w:sz w:val="24"/>
                <w:szCs w:val="24"/>
                <w:highlight w:val="none"/>
                <w:lang w:val="en-US" w:eastAsia="zh-CN" w:bidi="ar-SA"/>
              </w:rPr>
              <w:t>固体组分</w:t>
            </w:r>
            <w:r>
              <w:rPr>
                <w:rFonts w:hint="eastAsia" w:ascii="Times New Roman" w:hAnsi="Times New Roman" w:eastAsia="宋体" w:cs="Times New Roman"/>
                <w:color w:val="auto"/>
                <w:kern w:val="0"/>
                <w:sz w:val="24"/>
                <w:szCs w:val="24"/>
                <w:highlight w:val="none"/>
                <w:lang w:val="en-US" w:eastAsia="zh-CN" w:bidi="ar-SA"/>
              </w:rPr>
              <w:t>70</w:t>
            </w:r>
            <w:r>
              <w:rPr>
                <w:rFonts w:hint="default" w:ascii="Times New Roman" w:hAnsi="Times New Roman" w:eastAsia="宋体" w:cs="Times New Roman"/>
                <w:color w:val="auto"/>
                <w:kern w:val="0"/>
                <w:sz w:val="24"/>
                <w:szCs w:val="24"/>
                <w:highlight w:val="none"/>
                <w:lang w:val="en-US" w:eastAsia="zh-CN" w:bidi="ar-SA"/>
              </w:rPr>
              <w:t>%附着于产品表面形成漆膜4.</w:t>
            </w:r>
            <w:r>
              <w:rPr>
                <w:rFonts w:hint="eastAsia" w:cs="Times New Roman"/>
                <w:color w:val="auto"/>
                <w:kern w:val="0"/>
                <w:sz w:val="24"/>
                <w:szCs w:val="24"/>
                <w:highlight w:val="none"/>
                <w:lang w:val="en-US" w:eastAsia="zh-CN" w:bidi="ar-SA"/>
              </w:rPr>
              <w:t>18</w:t>
            </w:r>
            <w:r>
              <w:rPr>
                <w:rFonts w:hint="default" w:ascii="Times New Roman" w:hAnsi="Times New Roman" w:eastAsia="宋体" w:cs="Times New Roman"/>
                <w:color w:val="auto"/>
                <w:kern w:val="0"/>
                <w:sz w:val="24"/>
                <w:szCs w:val="24"/>
                <w:highlight w:val="none"/>
                <w:lang w:val="en-US" w:eastAsia="zh-CN" w:bidi="ar-SA"/>
              </w:rPr>
              <w:t>t/a×</w:t>
            </w:r>
            <w:r>
              <w:rPr>
                <w:rFonts w:hint="eastAsia" w:ascii="Times New Roman" w:hAnsi="Times New Roman" w:eastAsia="宋体" w:cs="Times New Roman"/>
                <w:color w:val="auto"/>
                <w:kern w:val="0"/>
                <w:sz w:val="24"/>
                <w:szCs w:val="24"/>
                <w:highlight w:val="none"/>
                <w:lang w:val="en-US" w:eastAsia="zh-CN" w:bidi="ar-SA"/>
              </w:rPr>
              <w:t>70</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2.926t</w:t>
            </w:r>
            <w:r>
              <w:rPr>
                <w:rFonts w:hint="default" w:ascii="Times New Roman" w:hAnsi="Times New Roman" w:eastAsia="宋体" w:cs="Times New Roman"/>
                <w:color w:val="auto"/>
                <w:kern w:val="0"/>
                <w:sz w:val="24"/>
                <w:szCs w:val="24"/>
                <w:highlight w:val="none"/>
                <w:lang w:val="en-US" w:eastAsia="zh-CN" w:bidi="ar-SA"/>
              </w:rPr>
              <w:t>/a，</w:t>
            </w:r>
            <w:r>
              <w:rPr>
                <w:rFonts w:hint="eastAsia" w:ascii="Times New Roman" w:hAnsi="Times New Roman" w:eastAsia="宋体" w:cs="Times New Roman"/>
                <w:color w:val="auto"/>
                <w:kern w:val="0"/>
                <w:sz w:val="24"/>
                <w:szCs w:val="24"/>
                <w:highlight w:val="none"/>
                <w:lang w:val="en-US" w:eastAsia="zh-CN" w:bidi="ar-SA"/>
              </w:rPr>
              <w:t>30</w:t>
            </w:r>
            <w:r>
              <w:rPr>
                <w:rFonts w:hint="default" w:ascii="Times New Roman" w:hAnsi="Times New Roman" w:eastAsia="宋体" w:cs="Times New Roman"/>
                <w:color w:val="auto"/>
                <w:kern w:val="0"/>
                <w:sz w:val="24"/>
                <w:szCs w:val="24"/>
                <w:highlight w:val="none"/>
                <w:lang w:val="en-US" w:eastAsia="zh-CN" w:bidi="ar-SA"/>
              </w:rPr>
              <w:t>%形成漆雾：4.</w:t>
            </w:r>
            <w:r>
              <w:rPr>
                <w:rFonts w:hint="eastAsia" w:cs="Times New Roman"/>
                <w:color w:val="auto"/>
                <w:kern w:val="0"/>
                <w:sz w:val="24"/>
                <w:szCs w:val="24"/>
                <w:highlight w:val="none"/>
                <w:lang w:val="en-US" w:eastAsia="zh-CN" w:bidi="ar-SA"/>
              </w:rPr>
              <w:t>18</w:t>
            </w:r>
            <w:r>
              <w:rPr>
                <w:rFonts w:hint="default" w:ascii="Times New Roman" w:hAnsi="Times New Roman" w:eastAsia="宋体" w:cs="Times New Roman"/>
                <w:color w:val="auto"/>
                <w:kern w:val="0"/>
                <w:sz w:val="24"/>
                <w:szCs w:val="24"/>
                <w:highlight w:val="none"/>
                <w:lang w:val="en-US" w:eastAsia="zh-CN" w:bidi="ar-SA"/>
              </w:rPr>
              <w:t>t/a×</w:t>
            </w:r>
            <w:r>
              <w:rPr>
                <w:rFonts w:hint="eastAsia" w:ascii="Times New Roman" w:hAnsi="Times New Roman" w:eastAsia="宋体" w:cs="Times New Roman"/>
                <w:color w:val="auto"/>
                <w:kern w:val="0"/>
                <w:sz w:val="24"/>
                <w:szCs w:val="24"/>
                <w:highlight w:val="none"/>
                <w:lang w:val="en-US" w:eastAsia="zh-CN" w:bidi="ar-SA"/>
              </w:rPr>
              <w:t>30</w:t>
            </w:r>
            <w:r>
              <w:rPr>
                <w:rFonts w:hint="default" w:ascii="Times New Roman" w:hAnsi="Times New Roman" w:eastAsia="宋体" w:cs="Times New Roman"/>
                <w:color w:val="auto"/>
                <w:kern w:val="0"/>
                <w:sz w:val="24"/>
                <w:szCs w:val="24"/>
                <w:highlight w:val="none"/>
                <w:lang w:val="en-US" w:eastAsia="zh-CN" w:bidi="ar-SA"/>
              </w:rPr>
              <w:t>%=</w:t>
            </w:r>
            <w:r>
              <w:rPr>
                <w:rFonts w:hint="eastAsia" w:cs="Times New Roman"/>
                <w:color w:val="auto"/>
                <w:kern w:val="0"/>
                <w:sz w:val="24"/>
                <w:szCs w:val="24"/>
                <w:highlight w:val="none"/>
                <w:lang w:val="en-US" w:eastAsia="zh-CN" w:bidi="ar-SA"/>
              </w:rPr>
              <w:t>1.254t/a</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b w:val="0"/>
                <w:bCs/>
                <w:color w:val="auto"/>
                <w:kern w:val="2"/>
                <w:sz w:val="24"/>
                <w:szCs w:val="24"/>
                <w:highlight w:val="none"/>
                <w:vertAlign w:val="baseline"/>
                <w:lang w:val="en-US" w:eastAsia="zh-CN" w:bidi="ar"/>
              </w:rPr>
              <w:t>其中9</w:t>
            </w:r>
            <w:r>
              <w:rPr>
                <w:rFonts w:hint="eastAsia" w:cs="Times New Roman"/>
                <w:b w:val="0"/>
                <w:bCs/>
                <w:color w:val="auto"/>
                <w:kern w:val="2"/>
                <w:sz w:val="24"/>
                <w:szCs w:val="24"/>
                <w:highlight w:val="none"/>
                <w:vertAlign w:val="baseline"/>
                <w:lang w:val="en-US" w:eastAsia="zh-CN" w:bidi="ar"/>
              </w:rPr>
              <w:t>5</w:t>
            </w:r>
            <w:r>
              <w:rPr>
                <w:rFonts w:hint="default" w:ascii="Times New Roman" w:hAnsi="Times New Roman" w:eastAsia="宋体" w:cs="Times New Roman"/>
                <w:b w:val="0"/>
                <w:bCs/>
                <w:color w:val="auto"/>
                <w:kern w:val="2"/>
                <w:sz w:val="24"/>
                <w:szCs w:val="24"/>
                <w:highlight w:val="none"/>
                <w:vertAlign w:val="baseline"/>
                <w:lang w:val="en-US" w:eastAsia="zh-CN" w:bidi="ar"/>
              </w:rPr>
              <w:t>%被收集处理（处理效率9</w:t>
            </w:r>
            <w:r>
              <w:rPr>
                <w:rFonts w:hint="eastAsia" w:cs="Times New Roman"/>
                <w:b w:val="0"/>
                <w:bCs/>
                <w:color w:val="auto"/>
                <w:kern w:val="2"/>
                <w:sz w:val="24"/>
                <w:szCs w:val="24"/>
                <w:highlight w:val="none"/>
                <w:vertAlign w:val="baseline"/>
                <w:lang w:val="en-US" w:eastAsia="zh-CN" w:bidi="ar"/>
              </w:rPr>
              <w:t>0</w:t>
            </w:r>
            <w:r>
              <w:rPr>
                <w:rFonts w:hint="default" w:ascii="Times New Roman" w:hAnsi="Times New Roman" w:eastAsia="宋体" w:cs="Times New Roman"/>
                <w:b w:val="0"/>
                <w:bCs/>
                <w:color w:val="auto"/>
                <w:kern w:val="2"/>
                <w:sz w:val="24"/>
                <w:szCs w:val="24"/>
                <w:highlight w:val="none"/>
                <w:vertAlign w:val="baseline"/>
                <w:lang w:val="en-US" w:eastAsia="zh-CN" w:bidi="ar"/>
              </w:rPr>
              <w:t>%）</w:t>
            </w:r>
            <w:r>
              <w:rPr>
                <w:rFonts w:hint="eastAsia" w:ascii="Times New Roman" w:hAnsi="Times New Roman" w:eastAsia="宋体" w:cs="Times New Roman"/>
                <w:b w:val="0"/>
                <w:bCs/>
                <w:color w:val="auto"/>
                <w:kern w:val="2"/>
                <w:sz w:val="24"/>
                <w:szCs w:val="24"/>
                <w:highlight w:val="none"/>
                <w:vertAlign w:val="baseline"/>
                <w:lang w:val="en-US" w:eastAsia="zh-CN" w:bidi="ar"/>
              </w:rPr>
              <w:t>，则</w:t>
            </w:r>
            <w:r>
              <w:rPr>
                <w:rFonts w:hint="eastAsia" w:ascii="Times New Roman" w:hAnsi="Times New Roman" w:eastAsia="宋体" w:cs="Times New Roman"/>
                <w:color w:val="auto"/>
                <w:kern w:val="0"/>
                <w:sz w:val="24"/>
                <w:szCs w:val="24"/>
                <w:highlight w:val="none"/>
                <w:lang w:val="en-US" w:eastAsia="zh-CN" w:bidi="ar-SA"/>
              </w:rPr>
              <w:t>水性面漆喷漆工序产生的废气</w:t>
            </w:r>
            <w:r>
              <w:rPr>
                <w:rFonts w:hint="eastAsia" w:ascii="Times New Roman" w:hAnsi="Times New Roman" w:eastAsia="宋体" w:cs="Times New Roman"/>
                <w:b w:val="0"/>
                <w:bCs/>
                <w:color w:val="auto"/>
                <w:kern w:val="2"/>
                <w:sz w:val="24"/>
                <w:szCs w:val="24"/>
                <w:highlight w:val="none"/>
                <w:vertAlign w:val="baseline"/>
                <w:lang w:val="en-US" w:eastAsia="zh-CN" w:bidi="ar"/>
              </w:rPr>
              <w:t>颗粒物有组织产生量为</w:t>
            </w:r>
            <w:r>
              <w:rPr>
                <w:rFonts w:hint="eastAsia" w:cs="Times New Roman"/>
                <w:b w:val="0"/>
                <w:bCs/>
                <w:color w:val="auto"/>
                <w:kern w:val="2"/>
                <w:sz w:val="24"/>
                <w:szCs w:val="24"/>
                <w:highlight w:val="none"/>
                <w:vertAlign w:val="baseline"/>
                <w:lang w:val="en-US" w:eastAsia="zh-CN" w:bidi="ar"/>
              </w:rPr>
              <w:t>1.19</w:t>
            </w:r>
            <w:r>
              <w:rPr>
                <w:rFonts w:hint="eastAsia" w:ascii="Times New Roman" w:hAnsi="Times New Roman" w:eastAsia="宋体" w:cs="Times New Roman"/>
                <w:b w:val="0"/>
                <w:bCs/>
                <w:color w:val="auto"/>
                <w:kern w:val="2"/>
                <w:sz w:val="24"/>
                <w:szCs w:val="24"/>
                <w:highlight w:val="none"/>
                <w:vertAlign w:val="baseline"/>
                <w:lang w:val="en-US" w:eastAsia="zh-CN" w:bidi="ar"/>
              </w:rPr>
              <w:t>/a，有组织排放量为</w:t>
            </w:r>
            <w:r>
              <w:rPr>
                <w:rFonts w:hint="eastAsia" w:cs="Times New Roman"/>
                <w:b w:val="0"/>
                <w:bCs/>
                <w:color w:val="auto"/>
                <w:kern w:val="2"/>
                <w:sz w:val="24"/>
                <w:szCs w:val="24"/>
                <w:highlight w:val="none"/>
                <w:vertAlign w:val="baseline"/>
                <w:lang w:val="en-US" w:eastAsia="zh-CN" w:bidi="ar"/>
              </w:rPr>
              <w:t>0.119</w:t>
            </w:r>
            <w:r>
              <w:rPr>
                <w:rFonts w:hint="eastAsia" w:ascii="Times New Roman" w:hAnsi="Times New Roman" w:eastAsia="宋体" w:cs="Times New Roman"/>
                <w:b w:val="0"/>
                <w:bCs/>
                <w:color w:val="auto"/>
                <w:kern w:val="2"/>
                <w:sz w:val="24"/>
                <w:szCs w:val="24"/>
                <w:highlight w:val="none"/>
                <w:vertAlign w:val="baseline"/>
                <w:lang w:val="en-US" w:eastAsia="zh-CN" w:bidi="ar"/>
              </w:rPr>
              <w:t>t/a</w:t>
            </w:r>
            <w:r>
              <w:rPr>
                <w:rFonts w:hint="default" w:ascii="Times New Roman" w:hAnsi="Times New Roman" w:eastAsia="宋体" w:cs="Times New Roman"/>
                <w:b w:val="0"/>
                <w:bCs w:val="0"/>
                <w:color w:val="auto"/>
                <w:kern w:val="2"/>
                <w:sz w:val="24"/>
                <w:szCs w:val="24"/>
                <w:highlight w:val="none"/>
                <w:vertAlign w:val="baseline"/>
                <w:lang w:val="en-US" w:eastAsia="zh-CN" w:bidi="ar-SA"/>
              </w:rPr>
              <w:t>，</w:t>
            </w:r>
            <w:r>
              <w:rPr>
                <w:rFonts w:hint="eastAsia" w:cs="Times New Roman"/>
                <w:b w:val="0"/>
                <w:bCs w:val="0"/>
                <w:color w:val="auto"/>
                <w:kern w:val="2"/>
                <w:sz w:val="24"/>
                <w:szCs w:val="24"/>
                <w:highlight w:val="none"/>
                <w:vertAlign w:val="baseline"/>
                <w:lang w:val="en-US" w:eastAsia="zh-CN" w:bidi="ar-SA"/>
              </w:rPr>
              <w:t>5</w:t>
            </w:r>
            <w:r>
              <w:rPr>
                <w:rFonts w:hint="default" w:ascii="Times New Roman" w:hAnsi="Times New Roman" w:eastAsia="宋体" w:cs="Times New Roman"/>
                <w:b w:val="0"/>
                <w:bCs w:val="0"/>
                <w:color w:val="auto"/>
                <w:kern w:val="2"/>
                <w:sz w:val="24"/>
                <w:szCs w:val="24"/>
                <w:highlight w:val="none"/>
                <w:vertAlign w:val="baseline"/>
                <w:lang w:val="en-US" w:eastAsia="zh-CN" w:bidi="ar-SA"/>
              </w:rPr>
              <w:t>%无组织排放</w:t>
            </w:r>
            <w:r>
              <w:rPr>
                <w:rFonts w:hint="eastAsia" w:ascii="Times New Roman" w:hAnsi="Times New Roman" w:eastAsia="宋体" w:cs="Times New Roman"/>
                <w:b w:val="0"/>
                <w:bCs w:val="0"/>
                <w:color w:val="auto"/>
                <w:kern w:val="2"/>
                <w:sz w:val="24"/>
                <w:szCs w:val="24"/>
                <w:highlight w:val="none"/>
                <w:vertAlign w:val="baseline"/>
                <w:lang w:val="en-US" w:eastAsia="zh-CN" w:bidi="ar-SA"/>
              </w:rPr>
              <w:t>，颗粒物无组织产生量为0</w:t>
            </w:r>
            <w:r>
              <w:rPr>
                <w:rFonts w:hint="eastAsia" w:cs="Times New Roman"/>
                <w:b w:val="0"/>
                <w:bCs w:val="0"/>
                <w:color w:val="auto"/>
                <w:kern w:val="2"/>
                <w:sz w:val="24"/>
                <w:szCs w:val="24"/>
                <w:highlight w:val="none"/>
                <w:vertAlign w:val="baseline"/>
                <w:lang w:val="en-US" w:eastAsia="zh-CN" w:bidi="ar-SA"/>
              </w:rPr>
              <w:t>.063</w:t>
            </w:r>
            <w:r>
              <w:rPr>
                <w:rFonts w:hint="eastAsia" w:ascii="Times New Roman" w:hAnsi="Times New Roman" w:eastAsia="宋体" w:cs="Times New Roman"/>
                <w:b w:val="0"/>
                <w:bCs w:val="0"/>
                <w:color w:val="auto"/>
                <w:kern w:val="2"/>
                <w:sz w:val="24"/>
                <w:szCs w:val="24"/>
                <w:highlight w:val="none"/>
                <w:vertAlign w:val="baseline"/>
                <w:lang w:val="en-US" w:eastAsia="zh-CN" w:bidi="ar-SA"/>
              </w:rPr>
              <w:t>t/a，其中50%作为漆渣，则颗粒物无组织排放量为</w:t>
            </w:r>
            <w:r>
              <w:rPr>
                <w:rFonts w:hint="eastAsia" w:cs="Times New Roman"/>
                <w:b w:val="0"/>
                <w:bCs w:val="0"/>
                <w:color w:val="auto"/>
                <w:kern w:val="2"/>
                <w:sz w:val="24"/>
                <w:szCs w:val="24"/>
                <w:highlight w:val="none"/>
                <w:vertAlign w:val="baseline"/>
                <w:lang w:val="en-US" w:eastAsia="zh-CN" w:bidi="ar-SA"/>
              </w:rPr>
              <w:t>0.0315</w:t>
            </w:r>
            <w:r>
              <w:rPr>
                <w:rFonts w:hint="eastAsia" w:ascii="Times New Roman" w:hAnsi="Times New Roman" w:eastAsia="宋体" w:cs="Times New Roman"/>
                <w:b w:val="0"/>
                <w:bCs w:val="0"/>
                <w:color w:val="auto"/>
                <w:kern w:val="2"/>
                <w:sz w:val="24"/>
                <w:szCs w:val="24"/>
                <w:highlight w:val="none"/>
                <w:vertAlign w:val="baseline"/>
                <w:lang w:val="en-US" w:eastAsia="zh-CN" w:bidi="ar-SA"/>
              </w:rPr>
              <w:t>t/a</w:t>
            </w:r>
            <w:r>
              <w:rPr>
                <w:rFonts w:hint="default" w:ascii="Times New Roman" w:hAnsi="Times New Roman" w:eastAsia="宋体" w:cs="Times New Roman"/>
                <w:b w:val="0"/>
                <w:bCs w:val="0"/>
                <w:color w:val="auto"/>
                <w:kern w:val="2"/>
                <w:sz w:val="24"/>
                <w:szCs w:val="24"/>
                <w:highlight w:val="none"/>
                <w:vertAlign w:val="baseline"/>
                <w:lang w:val="en-US" w:eastAsia="zh-CN" w:bidi="ar-SA"/>
              </w:rPr>
              <w:t>。</w:t>
            </w:r>
          </w:p>
          <w:p w14:paraId="18B3555C">
            <w:pPr>
              <w:keepNext w:val="0"/>
              <w:keepLines w:val="0"/>
              <w:pageBreakBefore w:val="0"/>
              <w:widowControl w:val="0"/>
              <w:kinsoku/>
              <w:wordWrap/>
              <w:overflowPunct/>
              <w:topLinePunct w:val="0"/>
              <w:autoSpaceDE/>
              <w:autoSpaceDN/>
              <w:bidi w:val="0"/>
              <w:adjustRightInd/>
              <w:snapToGrid/>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水性</w:t>
            </w:r>
            <w:r>
              <w:rPr>
                <w:rFonts w:hint="default" w:ascii="Times New Roman" w:hAnsi="Times New Roman" w:eastAsia="宋体" w:cs="Times New Roman"/>
                <w:color w:val="auto"/>
                <w:sz w:val="24"/>
                <w:szCs w:val="24"/>
                <w:highlight w:val="none"/>
              </w:rPr>
              <w:t>面漆工序漆料平衡见</w:t>
            </w:r>
            <w:r>
              <w:rPr>
                <w:rFonts w:hint="eastAsia" w:ascii="Times New Roman" w:hAnsi="Times New Roman" w:eastAsia="宋体" w:cs="Times New Roman"/>
                <w:color w:val="auto"/>
                <w:sz w:val="24"/>
                <w:szCs w:val="24"/>
                <w:highlight w:val="none"/>
                <w:lang w:eastAsia="zh-CN"/>
              </w:rPr>
              <w:t>下图</w:t>
            </w:r>
            <w:r>
              <w:rPr>
                <w:rFonts w:hint="default" w:ascii="Times New Roman" w:hAnsi="Times New Roman" w:eastAsia="宋体" w:cs="Times New Roman"/>
                <w:color w:val="auto"/>
                <w:sz w:val="24"/>
                <w:szCs w:val="24"/>
                <w:highlight w:val="none"/>
              </w:rPr>
              <w:t>。</w:t>
            </w:r>
          </w:p>
          <w:p w14:paraId="4B888A9C">
            <w:pPr>
              <w:widowControl w:val="0"/>
              <w:spacing w:after="120" w:line="480" w:lineRule="auto"/>
              <w:ind w:left="0" w:leftChars="0" w:firstLine="0" w:firstLineChars="0"/>
              <w:jc w:val="center"/>
              <w:rPr>
                <w:rFonts w:hint="default" w:ascii="Times New Roman" w:hAnsi="Times New Roman" w:eastAsia="宋体" w:cs="Times New Roman"/>
                <w:b/>
                <w:bCs/>
                <w:color w:val="auto"/>
                <w:kern w:val="2"/>
                <w:sz w:val="24"/>
                <w:szCs w:val="24"/>
                <w:highlight w:val="none"/>
                <w:vertAlign w:val="baseline"/>
                <w:lang w:val="en-US" w:eastAsia="zh-CN" w:bidi="ar-SA"/>
              </w:rPr>
            </w:pPr>
            <w:r>
              <w:rPr>
                <w:rFonts w:hint="eastAsia" w:ascii="Times New Roman" w:hAnsi="Times New Roman" w:eastAsia="宋体" w:cs="Times New Roman"/>
                <w:b/>
                <w:color w:val="auto"/>
                <w:kern w:val="2"/>
                <w:sz w:val="24"/>
                <w:szCs w:val="24"/>
                <w:highlight w:val="none"/>
                <w:lang w:val="en-US" w:eastAsia="zh-CN" w:bidi="ar-SA"/>
              </w:rPr>
              <w:object>
                <v:shape id="_x0000_i1025" o:spt="75" type="#_x0000_t75" style="height:181.4pt;width:383.2pt;" o:ole="t" filled="f" o:preferrelative="t" stroked="f" coordsize="21600,21600">
                  <v:path/>
                  <v:fill on="f" focussize="0,0"/>
                  <v:stroke on="f"/>
                  <v:imagedata r:id="rId22" o:title=""/>
                  <o:lock v:ext="edit" aspectratio="t"/>
                  <w10:wrap type="none"/>
                  <w10:anchorlock/>
                </v:shape>
                <o:OLEObject Type="Embed" ProgID="RFFlow4" ShapeID="_x0000_i1025" DrawAspect="Content" ObjectID="_1468075725" r:id="rId21">
                  <o:LockedField>false</o:LockedField>
                </o:OLEObject>
              </w:object>
            </w:r>
          </w:p>
          <w:p w14:paraId="0B933742">
            <w:pPr>
              <w:widowControl w:val="0"/>
              <w:spacing w:after="120" w:line="480" w:lineRule="auto"/>
              <w:ind w:left="0" w:leftChars="0"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vertAlign w:val="baseline"/>
                <w:lang w:val="en-US" w:eastAsia="zh-CN" w:bidi="ar-SA"/>
              </w:rPr>
              <w:t>图</w:t>
            </w:r>
            <w:r>
              <w:rPr>
                <w:rFonts w:hint="eastAsia" w:cs="Times New Roman"/>
                <w:b/>
                <w:bCs/>
                <w:color w:val="auto"/>
                <w:kern w:val="2"/>
                <w:sz w:val="24"/>
                <w:szCs w:val="24"/>
                <w:highlight w:val="none"/>
                <w:vertAlign w:val="baseline"/>
                <w:lang w:val="en-US" w:eastAsia="zh-CN" w:bidi="ar-SA"/>
              </w:rPr>
              <w:t>2-1</w:t>
            </w:r>
            <w:r>
              <w:rPr>
                <w:rFonts w:hint="default" w:ascii="Times New Roman" w:hAnsi="Times New Roman" w:eastAsia="宋体" w:cs="Times New Roman"/>
                <w:b/>
                <w:bCs/>
                <w:color w:val="auto"/>
                <w:kern w:val="2"/>
                <w:sz w:val="24"/>
                <w:szCs w:val="24"/>
                <w:highlight w:val="none"/>
                <w:vertAlign w:val="baseline"/>
                <w:lang w:val="en-US" w:eastAsia="zh-CN" w:bidi="ar-SA"/>
              </w:rPr>
              <w:t xml:space="preserve">  水性面漆喷涂工序漆料平衡图  单位：t/a</w:t>
            </w:r>
          </w:p>
          <w:p w14:paraId="5FCF95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eastAsia="zh-CN"/>
              </w:rPr>
              <w:t>水性</w:t>
            </w:r>
            <w:r>
              <w:rPr>
                <w:rFonts w:hint="default" w:ascii="Times New Roman" w:hAnsi="Times New Roman" w:eastAsia="宋体" w:cs="Times New Roman"/>
                <w:color w:val="auto"/>
                <w:sz w:val="24"/>
                <w:szCs w:val="24"/>
                <w:highlight w:val="none"/>
              </w:rPr>
              <w:t>面漆工序漆料平衡表见</w:t>
            </w:r>
            <w:r>
              <w:rPr>
                <w:rFonts w:hint="eastAsia" w:ascii="Times New Roman" w:hAnsi="Times New Roman" w:eastAsia="宋体" w:cs="Times New Roman"/>
                <w:color w:val="auto"/>
                <w:sz w:val="24"/>
                <w:szCs w:val="24"/>
                <w:highlight w:val="none"/>
                <w:lang w:eastAsia="zh-CN"/>
              </w:rPr>
              <w:t>下表</w:t>
            </w:r>
            <w:r>
              <w:rPr>
                <w:rFonts w:hint="default" w:ascii="Times New Roman" w:hAnsi="Times New Roman" w:eastAsia="宋体" w:cs="Times New Roman"/>
                <w:color w:val="auto"/>
                <w:sz w:val="24"/>
                <w:szCs w:val="24"/>
                <w:highlight w:val="none"/>
              </w:rPr>
              <w:t>。</w:t>
            </w:r>
          </w:p>
          <w:p w14:paraId="20BE7454">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w:t>
            </w:r>
            <w:r>
              <w:rPr>
                <w:rFonts w:hint="eastAsia" w:cs="Times New Roman"/>
                <w:b/>
                <w:color w:val="auto"/>
                <w:sz w:val="21"/>
                <w:szCs w:val="21"/>
                <w:highlight w:val="none"/>
                <w:lang w:val="en-US" w:eastAsia="zh-CN"/>
              </w:rPr>
              <w:t>2-9</w:t>
            </w:r>
            <w:r>
              <w:rPr>
                <w:rFonts w:hint="default" w:ascii="Times New Roman" w:hAnsi="Times New Roman" w:eastAsia="宋体" w:cs="Times New Roman"/>
                <w:b/>
                <w:color w:val="auto"/>
                <w:sz w:val="21"/>
                <w:szCs w:val="21"/>
                <w:highlight w:val="none"/>
                <w:lang w:val="en-US" w:eastAsia="zh-CN"/>
              </w:rPr>
              <w:t xml:space="preserve">  水性面漆喷漆工序漆料平衡表  单位：t/a</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9"/>
              <w:gridCol w:w="1726"/>
              <w:gridCol w:w="1064"/>
              <w:gridCol w:w="1006"/>
              <w:gridCol w:w="1394"/>
              <w:gridCol w:w="933"/>
            </w:tblGrid>
            <w:tr w14:paraId="036C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noWrap w:val="0"/>
                  <w:vAlign w:val="center"/>
                </w:tcPr>
                <w:p w14:paraId="3481DF2B">
                  <w:pPr>
                    <w:pStyle w:val="66"/>
                    <w:ind w:firstLine="0" w:firstLineChars="0"/>
                    <w:jc w:val="center"/>
                    <w:rPr>
                      <w:rFonts w:hint="default"/>
                      <w:b/>
                      <w:bCs w:val="0"/>
                      <w:color w:val="auto"/>
                      <w:lang w:eastAsia="zh-CN"/>
                    </w:rPr>
                  </w:pPr>
                  <w:r>
                    <w:rPr>
                      <w:rFonts w:hint="default"/>
                      <w:b/>
                      <w:bCs w:val="0"/>
                      <w:color w:val="auto"/>
                      <w:lang w:eastAsia="zh-CN"/>
                    </w:rPr>
                    <w:t>入方（t/a）</w:t>
                  </w:r>
                </w:p>
              </w:tc>
              <w:tc>
                <w:tcPr>
                  <w:tcW w:w="2810" w:type="pct"/>
                  <w:gridSpan w:val="4"/>
                  <w:noWrap w:val="0"/>
                  <w:vAlign w:val="center"/>
                </w:tcPr>
                <w:p w14:paraId="7BBEE267">
                  <w:pPr>
                    <w:pStyle w:val="66"/>
                    <w:ind w:firstLine="0" w:firstLineChars="0"/>
                    <w:jc w:val="center"/>
                    <w:rPr>
                      <w:rFonts w:hint="default"/>
                      <w:b/>
                      <w:bCs w:val="0"/>
                      <w:color w:val="auto"/>
                      <w:lang w:eastAsia="zh-CN"/>
                    </w:rPr>
                  </w:pPr>
                  <w:r>
                    <w:rPr>
                      <w:rFonts w:hint="default"/>
                      <w:b/>
                      <w:bCs w:val="0"/>
                      <w:color w:val="auto"/>
                      <w:lang w:eastAsia="zh-CN"/>
                    </w:rPr>
                    <w:t>出方（t/a）</w:t>
                  </w:r>
                </w:p>
              </w:tc>
            </w:tr>
            <w:tr w14:paraId="06FD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6" w:type="pct"/>
                  <w:noWrap w:val="0"/>
                  <w:vAlign w:val="center"/>
                </w:tcPr>
                <w:p w14:paraId="24D284C9">
                  <w:pPr>
                    <w:pStyle w:val="66"/>
                    <w:ind w:firstLine="0" w:firstLineChars="0"/>
                    <w:jc w:val="center"/>
                    <w:rPr>
                      <w:rFonts w:hint="default"/>
                      <w:b w:val="0"/>
                      <w:bCs/>
                      <w:color w:val="auto"/>
                      <w:lang w:eastAsia="zh-CN"/>
                    </w:rPr>
                  </w:pPr>
                  <w:r>
                    <w:rPr>
                      <w:rFonts w:hint="default"/>
                      <w:b w:val="0"/>
                      <w:bCs/>
                      <w:color w:val="auto"/>
                      <w:lang w:eastAsia="zh-CN"/>
                    </w:rPr>
                    <w:t>名称</w:t>
                  </w:r>
                </w:p>
              </w:tc>
              <w:tc>
                <w:tcPr>
                  <w:tcW w:w="1103" w:type="pct"/>
                  <w:noWrap w:val="0"/>
                  <w:vAlign w:val="center"/>
                </w:tcPr>
                <w:p w14:paraId="5D5D3420">
                  <w:pPr>
                    <w:pStyle w:val="66"/>
                    <w:ind w:firstLine="0" w:firstLineChars="0"/>
                    <w:jc w:val="center"/>
                    <w:rPr>
                      <w:rFonts w:hint="default"/>
                      <w:b w:val="0"/>
                      <w:bCs/>
                      <w:color w:val="auto"/>
                      <w:lang w:eastAsia="zh-CN"/>
                    </w:rPr>
                  </w:pPr>
                  <w:r>
                    <w:rPr>
                      <w:rFonts w:hint="default"/>
                      <w:b w:val="0"/>
                      <w:bCs/>
                      <w:color w:val="auto"/>
                      <w:lang w:eastAsia="zh-CN"/>
                    </w:rPr>
                    <w:t>数量</w:t>
                  </w:r>
                </w:p>
              </w:tc>
              <w:tc>
                <w:tcPr>
                  <w:tcW w:w="680" w:type="pct"/>
                  <w:noWrap w:val="0"/>
                  <w:vAlign w:val="center"/>
                </w:tcPr>
                <w:p w14:paraId="680D1D53">
                  <w:pPr>
                    <w:pStyle w:val="66"/>
                    <w:ind w:firstLine="0" w:firstLineChars="0"/>
                    <w:jc w:val="center"/>
                    <w:rPr>
                      <w:rFonts w:hint="default"/>
                      <w:b w:val="0"/>
                      <w:bCs/>
                      <w:color w:val="auto"/>
                      <w:lang w:eastAsia="zh-CN"/>
                    </w:rPr>
                  </w:pPr>
                  <w:r>
                    <w:rPr>
                      <w:rFonts w:hint="default"/>
                      <w:b w:val="0"/>
                      <w:bCs/>
                      <w:color w:val="auto"/>
                      <w:lang w:eastAsia="zh-CN"/>
                    </w:rPr>
                    <w:t>去向</w:t>
                  </w:r>
                </w:p>
              </w:tc>
              <w:tc>
                <w:tcPr>
                  <w:tcW w:w="1534" w:type="pct"/>
                  <w:gridSpan w:val="2"/>
                  <w:noWrap w:val="0"/>
                  <w:vAlign w:val="center"/>
                </w:tcPr>
                <w:p w14:paraId="763CBD6A">
                  <w:pPr>
                    <w:pStyle w:val="66"/>
                    <w:ind w:firstLine="0" w:firstLineChars="0"/>
                    <w:jc w:val="center"/>
                    <w:rPr>
                      <w:rFonts w:hint="default"/>
                      <w:b w:val="0"/>
                      <w:bCs/>
                      <w:color w:val="auto"/>
                      <w:lang w:eastAsia="zh-CN"/>
                    </w:rPr>
                  </w:pPr>
                  <w:r>
                    <w:rPr>
                      <w:rFonts w:hint="default"/>
                      <w:b w:val="0"/>
                      <w:bCs/>
                      <w:color w:val="auto"/>
                      <w:lang w:eastAsia="zh-CN"/>
                    </w:rPr>
                    <w:t>名称</w:t>
                  </w:r>
                </w:p>
              </w:tc>
              <w:tc>
                <w:tcPr>
                  <w:tcW w:w="595" w:type="pct"/>
                  <w:noWrap w:val="0"/>
                  <w:vAlign w:val="center"/>
                </w:tcPr>
                <w:p w14:paraId="1DC8AD46">
                  <w:pPr>
                    <w:pStyle w:val="66"/>
                    <w:ind w:firstLine="0" w:firstLineChars="0"/>
                    <w:jc w:val="center"/>
                    <w:rPr>
                      <w:rFonts w:hint="default"/>
                      <w:b w:val="0"/>
                      <w:bCs/>
                      <w:color w:val="auto"/>
                      <w:lang w:eastAsia="zh-CN"/>
                    </w:rPr>
                  </w:pPr>
                  <w:r>
                    <w:rPr>
                      <w:rFonts w:hint="default"/>
                      <w:b w:val="0"/>
                      <w:bCs/>
                      <w:color w:val="auto"/>
                      <w:lang w:eastAsia="zh-CN"/>
                    </w:rPr>
                    <w:t>数量</w:t>
                  </w:r>
                </w:p>
              </w:tc>
            </w:tr>
            <w:tr w14:paraId="2369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6" w:type="pct"/>
                  <w:shd w:val="clear" w:color="auto" w:fill="auto"/>
                  <w:noWrap w:val="0"/>
                  <w:vAlign w:val="center"/>
                </w:tcPr>
                <w:p w14:paraId="2A089207">
                  <w:pPr>
                    <w:pStyle w:val="66"/>
                    <w:ind w:firstLine="0" w:firstLineChars="0"/>
                    <w:jc w:val="center"/>
                    <w:rPr>
                      <w:rFonts w:hint="default" w:ascii="Times New Roman" w:hAnsi="Times New Roman" w:eastAsia="宋体" w:cs="宋体"/>
                      <w:b w:val="0"/>
                      <w:bCs/>
                      <w:color w:val="auto"/>
                      <w:lang w:val="en-US" w:eastAsia="zh-CN"/>
                    </w:rPr>
                  </w:pPr>
                  <w:r>
                    <w:rPr>
                      <w:rFonts w:hint="eastAsia" w:ascii="Times New Roman" w:hAnsi="Times New Roman" w:eastAsia="宋体" w:cs="宋体"/>
                      <w:b w:val="0"/>
                      <w:bCs/>
                      <w:color w:val="auto"/>
                      <w:lang w:val="en-US" w:eastAsia="zh-CN"/>
                    </w:rPr>
                    <w:t>水性面漆</w:t>
                  </w:r>
                </w:p>
              </w:tc>
              <w:tc>
                <w:tcPr>
                  <w:tcW w:w="1103" w:type="pct"/>
                  <w:shd w:val="clear" w:color="auto" w:fill="auto"/>
                  <w:noWrap w:val="0"/>
                  <w:vAlign w:val="center"/>
                </w:tcPr>
                <w:p w14:paraId="2059A9A8">
                  <w:pPr>
                    <w:pStyle w:val="66"/>
                    <w:ind w:firstLine="0" w:firstLineChars="0"/>
                    <w:jc w:val="center"/>
                    <w:rPr>
                      <w:rFonts w:hint="default" w:ascii="Times New Roman" w:hAnsi="Times New Roman" w:eastAsia="宋体" w:cs="宋体"/>
                      <w:b w:val="0"/>
                      <w:bCs/>
                      <w:color w:val="auto"/>
                      <w:lang w:val="en-US" w:eastAsia="zh-CN"/>
                    </w:rPr>
                  </w:pPr>
                  <w:r>
                    <w:rPr>
                      <w:rFonts w:hint="eastAsia" w:ascii="Times New Roman" w:hAnsi="Times New Roman" w:eastAsia="宋体" w:cs="宋体"/>
                      <w:b w:val="0"/>
                      <w:bCs/>
                      <w:color w:val="auto"/>
                      <w:lang w:val="en-US" w:eastAsia="zh-CN"/>
                    </w:rPr>
                    <w:t>4.67</w:t>
                  </w:r>
                </w:p>
              </w:tc>
              <w:tc>
                <w:tcPr>
                  <w:tcW w:w="680" w:type="pct"/>
                  <w:shd w:val="clear" w:color="auto" w:fill="auto"/>
                  <w:noWrap w:val="0"/>
                  <w:vAlign w:val="center"/>
                </w:tcPr>
                <w:p w14:paraId="72FD5D12">
                  <w:pPr>
                    <w:pStyle w:val="66"/>
                    <w:ind w:firstLine="0" w:firstLineChars="0"/>
                    <w:jc w:val="center"/>
                    <w:rPr>
                      <w:rFonts w:hint="default" w:ascii="Times New Roman" w:hAnsi="Times New Roman" w:eastAsia="宋体" w:cs="宋体"/>
                      <w:b w:val="0"/>
                      <w:bCs/>
                      <w:color w:val="auto"/>
                      <w:lang w:val="en-US" w:eastAsia="zh-CN"/>
                    </w:rPr>
                  </w:pPr>
                  <w:r>
                    <w:rPr>
                      <w:rFonts w:hint="default" w:ascii="Times New Roman" w:hAnsi="Times New Roman" w:eastAsia="宋体" w:cs="宋体"/>
                      <w:b w:val="0"/>
                      <w:bCs/>
                      <w:color w:val="auto"/>
                      <w:lang w:eastAsia="zh-CN"/>
                    </w:rPr>
                    <w:t>进入产品</w:t>
                  </w:r>
                </w:p>
              </w:tc>
              <w:tc>
                <w:tcPr>
                  <w:tcW w:w="1534" w:type="pct"/>
                  <w:gridSpan w:val="2"/>
                  <w:shd w:val="clear" w:color="auto" w:fill="auto"/>
                  <w:noWrap w:val="0"/>
                  <w:vAlign w:val="center"/>
                </w:tcPr>
                <w:p w14:paraId="4AC31B3F">
                  <w:pPr>
                    <w:pStyle w:val="66"/>
                    <w:ind w:firstLine="0" w:firstLineChars="0"/>
                    <w:jc w:val="center"/>
                    <w:rPr>
                      <w:rFonts w:hint="default" w:ascii="Times New Roman" w:hAnsi="Times New Roman" w:eastAsia="宋体" w:cs="宋体"/>
                      <w:b w:val="0"/>
                      <w:bCs/>
                      <w:color w:val="auto"/>
                      <w:lang w:val="en-US" w:eastAsia="zh-CN"/>
                    </w:rPr>
                  </w:pPr>
                  <w:r>
                    <w:rPr>
                      <w:rFonts w:hint="default" w:ascii="Times New Roman" w:hAnsi="Times New Roman" w:eastAsia="宋体" w:cs="宋体"/>
                      <w:b w:val="0"/>
                      <w:bCs/>
                      <w:color w:val="auto"/>
                      <w:lang w:eastAsia="zh-CN"/>
                    </w:rPr>
                    <w:t>固体份（漆膜）</w:t>
                  </w:r>
                </w:p>
              </w:tc>
              <w:tc>
                <w:tcPr>
                  <w:tcW w:w="595" w:type="pct"/>
                  <w:shd w:val="clear" w:color="auto" w:fill="auto"/>
                  <w:noWrap w:val="0"/>
                  <w:vAlign w:val="center"/>
                </w:tcPr>
                <w:p w14:paraId="5CA80EF9">
                  <w:pPr>
                    <w:pStyle w:val="66"/>
                    <w:ind w:firstLine="0" w:firstLineChars="0"/>
                    <w:jc w:val="center"/>
                    <w:rPr>
                      <w:rFonts w:hint="default"/>
                      <w:b w:val="0"/>
                      <w:bCs/>
                      <w:color w:val="auto"/>
                      <w:lang w:val="en-US" w:eastAsia="zh-CN"/>
                    </w:rPr>
                  </w:pPr>
                  <w:r>
                    <w:rPr>
                      <w:rFonts w:hint="eastAsia"/>
                      <w:b w:val="0"/>
                      <w:bCs/>
                      <w:color w:val="auto"/>
                      <w:lang w:val="en-US" w:eastAsia="zh-CN"/>
                    </w:rPr>
                    <w:t>2.926</w:t>
                  </w:r>
                </w:p>
              </w:tc>
            </w:tr>
            <w:tr w14:paraId="7B53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restart"/>
                  <w:noWrap w:val="0"/>
                  <w:vAlign w:val="center"/>
                </w:tcPr>
                <w:p w14:paraId="156E4A31">
                  <w:pPr>
                    <w:pStyle w:val="66"/>
                    <w:ind w:firstLine="0" w:firstLineChars="0"/>
                    <w:jc w:val="center"/>
                    <w:rPr>
                      <w:rFonts w:hint="default"/>
                      <w:b w:val="0"/>
                      <w:bCs/>
                      <w:color w:val="auto"/>
                      <w:lang w:val="en-US" w:eastAsia="zh-CN"/>
                    </w:rPr>
                  </w:pPr>
                  <w:r>
                    <w:rPr>
                      <w:rFonts w:hint="default"/>
                      <w:b w:val="0"/>
                      <w:bCs/>
                      <w:color w:val="auto"/>
                      <w:lang w:val="en-US" w:eastAsia="zh-CN"/>
                    </w:rPr>
                    <w:t>/</w:t>
                  </w:r>
                </w:p>
              </w:tc>
              <w:tc>
                <w:tcPr>
                  <w:tcW w:w="680" w:type="pct"/>
                  <w:vMerge w:val="restart"/>
                  <w:noWrap w:val="0"/>
                  <w:vAlign w:val="center"/>
                </w:tcPr>
                <w:p w14:paraId="38A74C75">
                  <w:pPr>
                    <w:pStyle w:val="66"/>
                    <w:ind w:firstLine="0" w:firstLineChars="0"/>
                    <w:jc w:val="center"/>
                    <w:rPr>
                      <w:rFonts w:hint="default"/>
                      <w:b w:val="0"/>
                      <w:bCs/>
                      <w:color w:val="auto"/>
                      <w:lang w:eastAsia="zh-CN"/>
                    </w:rPr>
                  </w:pPr>
                  <w:r>
                    <w:rPr>
                      <w:rFonts w:hint="default"/>
                      <w:b w:val="0"/>
                      <w:bCs/>
                      <w:color w:val="auto"/>
                      <w:lang w:eastAsia="zh-CN"/>
                    </w:rPr>
                    <w:t>废气</w:t>
                  </w:r>
                </w:p>
              </w:tc>
              <w:tc>
                <w:tcPr>
                  <w:tcW w:w="643" w:type="pct"/>
                  <w:vMerge w:val="restart"/>
                  <w:noWrap w:val="0"/>
                  <w:vAlign w:val="center"/>
                </w:tcPr>
                <w:p w14:paraId="7E29E62A">
                  <w:pPr>
                    <w:pStyle w:val="66"/>
                    <w:ind w:firstLine="0" w:firstLineChars="0"/>
                    <w:jc w:val="center"/>
                    <w:rPr>
                      <w:rFonts w:hint="default"/>
                      <w:b w:val="0"/>
                      <w:bCs/>
                      <w:color w:val="auto"/>
                      <w:lang w:eastAsia="zh-CN"/>
                    </w:rPr>
                  </w:pPr>
                  <w:r>
                    <w:rPr>
                      <w:rFonts w:hint="eastAsia"/>
                      <w:b w:val="0"/>
                      <w:bCs/>
                      <w:color w:val="auto"/>
                      <w:lang w:val="en-US" w:eastAsia="zh-CN"/>
                    </w:rPr>
                    <w:t>VOC</w:t>
                  </w:r>
                  <w:r>
                    <w:rPr>
                      <w:rFonts w:hint="eastAsia"/>
                      <w:b w:val="0"/>
                      <w:bCs/>
                      <w:color w:val="auto"/>
                      <w:vertAlign w:val="subscript"/>
                      <w:lang w:val="en-US" w:eastAsia="zh-CN"/>
                    </w:rPr>
                    <w:t>S</w:t>
                  </w:r>
                </w:p>
              </w:tc>
              <w:tc>
                <w:tcPr>
                  <w:tcW w:w="891" w:type="pct"/>
                  <w:noWrap w:val="0"/>
                  <w:vAlign w:val="center"/>
                </w:tcPr>
                <w:p w14:paraId="07AFDBE6">
                  <w:pPr>
                    <w:pStyle w:val="66"/>
                    <w:ind w:firstLine="0" w:firstLineChars="0"/>
                    <w:jc w:val="center"/>
                    <w:rPr>
                      <w:rFonts w:hint="default"/>
                      <w:b w:val="0"/>
                      <w:bCs/>
                      <w:color w:val="auto"/>
                      <w:lang w:eastAsia="zh-CN"/>
                    </w:rPr>
                  </w:pPr>
                  <w:r>
                    <w:rPr>
                      <w:rFonts w:hint="default"/>
                      <w:b w:val="0"/>
                      <w:bCs/>
                      <w:color w:val="auto"/>
                      <w:lang w:eastAsia="zh-CN"/>
                    </w:rPr>
                    <w:t>有组织</w:t>
                  </w:r>
                </w:p>
              </w:tc>
              <w:tc>
                <w:tcPr>
                  <w:tcW w:w="595" w:type="pct"/>
                  <w:shd w:val="clear" w:color="auto" w:fill="auto"/>
                  <w:noWrap w:val="0"/>
                  <w:vAlign w:val="center"/>
                </w:tcPr>
                <w:p w14:paraId="5E9B161F">
                  <w:pPr>
                    <w:pStyle w:val="66"/>
                    <w:ind w:firstLine="0" w:firstLineChars="0"/>
                    <w:jc w:val="center"/>
                    <w:rPr>
                      <w:rFonts w:hint="default"/>
                      <w:b w:val="0"/>
                      <w:bCs/>
                      <w:color w:val="auto"/>
                      <w:lang w:val="en-US" w:eastAsia="zh-CN"/>
                    </w:rPr>
                  </w:pPr>
                  <w:r>
                    <w:rPr>
                      <w:rFonts w:hint="eastAsia"/>
                      <w:b w:val="0"/>
                      <w:bCs/>
                      <w:color w:val="auto"/>
                      <w:lang w:val="en-US" w:eastAsia="zh-CN"/>
                    </w:rPr>
                    <w:t>0.041</w:t>
                  </w:r>
                </w:p>
              </w:tc>
            </w:tr>
            <w:tr w14:paraId="5F02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550F1895">
                  <w:pPr>
                    <w:pStyle w:val="66"/>
                    <w:ind w:firstLine="0" w:firstLineChars="0"/>
                    <w:jc w:val="center"/>
                    <w:rPr>
                      <w:rFonts w:hint="default"/>
                      <w:b w:val="0"/>
                      <w:bCs/>
                      <w:color w:val="auto"/>
                      <w:lang w:val="en-US" w:eastAsia="zh-CN"/>
                    </w:rPr>
                  </w:pPr>
                </w:p>
              </w:tc>
              <w:tc>
                <w:tcPr>
                  <w:tcW w:w="680" w:type="pct"/>
                  <w:vMerge w:val="continue"/>
                  <w:noWrap w:val="0"/>
                  <w:vAlign w:val="center"/>
                </w:tcPr>
                <w:p w14:paraId="3FF1EF5E">
                  <w:pPr>
                    <w:pStyle w:val="66"/>
                    <w:ind w:firstLine="0" w:firstLineChars="0"/>
                    <w:jc w:val="center"/>
                    <w:rPr>
                      <w:rFonts w:hint="default"/>
                      <w:b w:val="0"/>
                      <w:bCs/>
                      <w:color w:val="auto"/>
                      <w:lang w:eastAsia="zh-CN"/>
                    </w:rPr>
                  </w:pPr>
                </w:p>
              </w:tc>
              <w:tc>
                <w:tcPr>
                  <w:tcW w:w="643" w:type="pct"/>
                  <w:vMerge w:val="continue"/>
                  <w:noWrap w:val="0"/>
                  <w:vAlign w:val="center"/>
                </w:tcPr>
                <w:p w14:paraId="6C77EBC4">
                  <w:pPr>
                    <w:pStyle w:val="66"/>
                    <w:ind w:firstLine="0" w:firstLineChars="0"/>
                    <w:jc w:val="center"/>
                    <w:rPr>
                      <w:rFonts w:hint="default"/>
                      <w:b w:val="0"/>
                      <w:bCs/>
                      <w:color w:val="auto"/>
                      <w:lang w:val="en-US" w:eastAsia="zh-CN"/>
                    </w:rPr>
                  </w:pPr>
                </w:p>
              </w:tc>
              <w:tc>
                <w:tcPr>
                  <w:tcW w:w="891" w:type="pct"/>
                  <w:noWrap w:val="0"/>
                  <w:vAlign w:val="center"/>
                </w:tcPr>
                <w:p w14:paraId="7DCB1D77">
                  <w:pPr>
                    <w:pStyle w:val="66"/>
                    <w:ind w:firstLine="0" w:firstLineChars="0"/>
                    <w:jc w:val="center"/>
                    <w:rPr>
                      <w:rFonts w:hint="default"/>
                      <w:b w:val="0"/>
                      <w:bCs/>
                      <w:color w:val="auto"/>
                      <w:lang w:eastAsia="zh-CN"/>
                    </w:rPr>
                  </w:pPr>
                  <w:r>
                    <w:rPr>
                      <w:rFonts w:hint="default"/>
                      <w:b w:val="0"/>
                      <w:bCs/>
                      <w:color w:val="auto"/>
                      <w:lang w:eastAsia="zh-CN"/>
                    </w:rPr>
                    <w:t>无组织</w:t>
                  </w:r>
                </w:p>
              </w:tc>
              <w:tc>
                <w:tcPr>
                  <w:tcW w:w="595" w:type="pct"/>
                  <w:shd w:val="clear" w:color="auto" w:fill="auto"/>
                  <w:noWrap w:val="0"/>
                  <w:vAlign w:val="center"/>
                </w:tcPr>
                <w:p w14:paraId="66D43B07">
                  <w:pPr>
                    <w:pStyle w:val="66"/>
                    <w:ind w:firstLine="0" w:firstLineChars="0"/>
                    <w:jc w:val="center"/>
                    <w:rPr>
                      <w:rFonts w:hint="default"/>
                      <w:b w:val="0"/>
                      <w:bCs/>
                      <w:color w:val="auto"/>
                      <w:lang w:val="en-US" w:eastAsia="zh-CN"/>
                    </w:rPr>
                  </w:pPr>
                  <w:r>
                    <w:rPr>
                      <w:rFonts w:hint="eastAsia"/>
                      <w:b w:val="0"/>
                      <w:bCs/>
                      <w:color w:val="auto"/>
                      <w:lang w:val="en-US" w:eastAsia="zh-CN"/>
                    </w:rPr>
                    <w:t>0.022</w:t>
                  </w:r>
                </w:p>
              </w:tc>
            </w:tr>
            <w:tr w14:paraId="2067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312A79D9">
                  <w:pPr>
                    <w:pStyle w:val="66"/>
                    <w:ind w:firstLine="0" w:firstLineChars="0"/>
                    <w:jc w:val="center"/>
                    <w:rPr>
                      <w:rFonts w:hint="default"/>
                      <w:b w:val="0"/>
                      <w:bCs/>
                      <w:color w:val="auto"/>
                      <w:lang w:val="en-US" w:eastAsia="zh-CN"/>
                    </w:rPr>
                  </w:pPr>
                </w:p>
              </w:tc>
              <w:tc>
                <w:tcPr>
                  <w:tcW w:w="680" w:type="pct"/>
                  <w:vMerge w:val="continue"/>
                  <w:noWrap w:val="0"/>
                  <w:vAlign w:val="center"/>
                </w:tcPr>
                <w:p w14:paraId="1D878043">
                  <w:pPr>
                    <w:pStyle w:val="66"/>
                    <w:ind w:firstLine="0" w:firstLineChars="0"/>
                    <w:jc w:val="center"/>
                    <w:rPr>
                      <w:rFonts w:hint="default"/>
                      <w:b w:val="0"/>
                      <w:bCs/>
                      <w:color w:val="auto"/>
                      <w:lang w:eastAsia="zh-CN"/>
                    </w:rPr>
                  </w:pPr>
                </w:p>
              </w:tc>
              <w:tc>
                <w:tcPr>
                  <w:tcW w:w="643" w:type="pct"/>
                  <w:vMerge w:val="restart"/>
                  <w:noWrap w:val="0"/>
                  <w:vAlign w:val="center"/>
                </w:tcPr>
                <w:p w14:paraId="116801ED">
                  <w:pPr>
                    <w:pStyle w:val="66"/>
                    <w:ind w:firstLine="0" w:firstLineChars="0"/>
                    <w:jc w:val="center"/>
                    <w:rPr>
                      <w:rFonts w:hint="default"/>
                      <w:b w:val="0"/>
                      <w:bCs/>
                      <w:color w:val="auto"/>
                      <w:lang w:eastAsia="zh-CN"/>
                    </w:rPr>
                  </w:pPr>
                  <w:r>
                    <w:rPr>
                      <w:rFonts w:hint="default"/>
                      <w:b w:val="0"/>
                      <w:bCs/>
                      <w:color w:val="auto"/>
                      <w:lang w:val="en-US" w:eastAsia="zh-CN"/>
                    </w:rPr>
                    <w:t>颗粒物</w:t>
                  </w:r>
                </w:p>
              </w:tc>
              <w:tc>
                <w:tcPr>
                  <w:tcW w:w="891" w:type="pct"/>
                  <w:noWrap w:val="0"/>
                  <w:vAlign w:val="center"/>
                </w:tcPr>
                <w:p w14:paraId="3F89F486">
                  <w:pPr>
                    <w:pStyle w:val="66"/>
                    <w:ind w:firstLine="0" w:firstLineChars="0"/>
                    <w:jc w:val="center"/>
                    <w:rPr>
                      <w:rFonts w:hint="default"/>
                      <w:b w:val="0"/>
                      <w:bCs/>
                      <w:color w:val="auto"/>
                      <w:lang w:eastAsia="zh-CN"/>
                    </w:rPr>
                  </w:pPr>
                  <w:r>
                    <w:rPr>
                      <w:rFonts w:hint="default"/>
                      <w:b w:val="0"/>
                      <w:bCs/>
                      <w:color w:val="auto"/>
                      <w:lang w:eastAsia="zh-CN"/>
                    </w:rPr>
                    <w:t>有组织</w:t>
                  </w:r>
                </w:p>
              </w:tc>
              <w:tc>
                <w:tcPr>
                  <w:tcW w:w="595" w:type="pct"/>
                  <w:shd w:val="clear" w:color="auto" w:fill="auto"/>
                  <w:noWrap w:val="0"/>
                  <w:vAlign w:val="center"/>
                </w:tcPr>
                <w:p w14:paraId="46252F6E">
                  <w:pPr>
                    <w:pStyle w:val="66"/>
                    <w:ind w:firstLine="0" w:firstLineChars="0"/>
                    <w:jc w:val="center"/>
                    <w:rPr>
                      <w:rFonts w:hint="default"/>
                      <w:b w:val="0"/>
                      <w:bCs/>
                      <w:color w:val="auto"/>
                      <w:lang w:val="en-US" w:eastAsia="zh-CN"/>
                    </w:rPr>
                  </w:pPr>
                  <w:r>
                    <w:rPr>
                      <w:rFonts w:hint="eastAsia"/>
                      <w:b w:val="0"/>
                      <w:bCs/>
                      <w:color w:val="auto"/>
                      <w:lang w:val="en-US" w:eastAsia="zh-CN"/>
                    </w:rPr>
                    <w:t>0.119</w:t>
                  </w:r>
                </w:p>
              </w:tc>
            </w:tr>
            <w:tr w14:paraId="2A43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6D556823">
                  <w:pPr>
                    <w:pStyle w:val="66"/>
                    <w:ind w:firstLine="0" w:firstLineChars="0"/>
                    <w:jc w:val="center"/>
                    <w:rPr>
                      <w:rFonts w:hint="default"/>
                      <w:b w:val="0"/>
                      <w:bCs/>
                      <w:color w:val="auto"/>
                      <w:lang w:eastAsia="zh-CN"/>
                    </w:rPr>
                  </w:pPr>
                </w:p>
              </w:tc>
              <w:tc>
                <w:tcPr>
                  <w:tcW w:w="680" w:type="pct"/>
                  <w:vMerge w:val="continue"/>
                  <w:noWrap w:val="0"/>
                  <w:vAlign w:val="center"/>
                </w:tcPr>
                <w:p w14:paraId="5005E215">
                  <w:pPr>
                    <w:pStyle w:val="66"/>
                    <w:ind w:firstLine="0" w:firstLineChars="0"/>
                    <w:jc w:val="center"/>
                    <w:rPr>
                      <w:rFonts w:hint="default"/>
                      <w:b w:val="0"/>
                      <w:bCs/>
                      <w:color w:val="auto"/>
                      <w:lang w:eastAsia="zh-CN"/>
                    </w:rPr>
                  </w:pPr>
                </w:p>
              </w:tc>
              <w:tc>
                <w:tcPr>
                  <w:tcW w:w="643" w:type="pct"/>
                  <w:vMerge w:val="continue"/>
                  <w:noWrap w:val="0"/>
                  <w:vAlign w:val="center"/>
                </w:tcPr>
                <w:p w14:paraId="5AA76F37">
                  <w:pPr>
                    <w:pStyle w:val="66"/>
                    <w:ind w:firstLine="0" w:firstLineChars="0"/>
                    <w:jc w:val="center"/>
                    <w:rPr>
                      <w:rFonts w:hint="default"/>
                      <w:b w:val="0"/>
                      <w:bCs/>
                      <w:color w:val="auto"/>
                      <w:lang w:eastAsia="zh-CN"/>
                    </w:rPr>
                  </w:pPr>
                </w:p>
              </w:tc>
              <w:tc>
                <w:tcPr>
                  <w:tcW w:w="891" w:type="pct"/>
                  <w:noWrap w:val="0"/>
                  <w:vAlign w:val="center"/>
                </w:tcPr>
                <w:p w14:paraId="04EA1284">
                  <w:pPr>
                    <w:pStyle w:val="66"/>
                    <w:ind w:firstLine="0" w:firstLineChars="0"/>
                    <w:jc w:val="center"/>
                    <w:rPr>
                      <w:rFonts w:hint="eastAsia"/>
                      <w:b w:val="0"/>
                      <w:bCs/>
                      <w:color w:val="auto"/>
                      <w:lang w:eastAsia="zh-CN"/>
                    </w:rPr>
                  </w:pPr>
                  <w:r>
                    <w:rPr>
                      <w:rFonts w:hint="default"/>
                      <w:b w:val="0"/>
                      <w:bCs/>
                      <w:color w:val="auto"/>
                      <w:lang w:eastAsia="zh-CN"/>
                    </w:rPr>
                    <w:t>无组织</w:t>
                  </w:r>
                </w:p>
              </w:tc>
              <w:tc>
                <w:tcPr>
                  <w:tcW w:w="595" w:type="pct"/>
                  <w:shd w:val="clear" w:color="auto" w:fill="auto"/>
                  <w:noWrap w:val="0"/>
                  <w:vAlign w:val="center"/>
                </w:tcPr>
                <w:p w14:paraId="0F38EFA2">
                  <w:pPr>
                    <w:pStyle w:val="66"/>
                    <w:ind w:firstLine="0" w:firstLineChars="0"/>
                    <w:jc w:val="center"/>
                    <w:rPr>
                      <w:rFonts w:hint="default"/>
                      <w:b w:val="0"/>
                      <w:bCs/>
                      <w:color w:val="auto"/>
                      <w:lang w:val="en-US" w:eastAsia="zh-CN"/>
                    </w:rPr>
                  </w:pPr>
                  <w:r>
                    <w:rPr>
                      <w:rFonts w:hint="default"/>
                      <w:b w:val="0"/>
                      <w:bCs/>
                      <w:color w:val="auto"/>
                      <w:lang w:val="en-US" w:eastAsia="zh-CN"/>
                    </w:rPr>
                    <w:t>0.</w:t>
                  </w:r>
                  <w:r>
                    <w:rPr>
                      <w:rFonts w:hint="eastAsia"/>
                      <w:b w:val="0"/>
                      <w:bCs/>
                      <w:color w:val="auto"/>
                      <w:lang w:val="en-US" w:eastAsia="zh-CN"/>
                    </w:rPr>
                    <w:t>0315</w:t>
                  </w:r>
                </w:p>
              </w:tc>
            </w:tr>
            <w:tr w14:paraId="498B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11C19962">
                  <w:pPr>
                    <w:pStyle w:val="66"/>
                    <w:ind w:firstLine="0" w:firstLineChars="0"/>
                    <w:jc w:val="center"/>
                    <w:rPr>
                      <w:rFonts w:hint="default"/>
                      <w:b w:val="0"/>
                      <w:bCs/>
                      <w:color w:val="auto"/>
                      <w:lang w:eastAsia="zh-CN"/>
                    </w:rPr>
                  </w:pPr>
                </w:p>
              </w:tc>
              <w:tc>
                <w:tcPr>
                  <w:tcW w:w="680" w:type="pct"/>
                  <w:vMerge w:val="restart"/>
                  <w:noWrap w:val="0"/>
                  <w:vAlign w:val="center"/>
                </w:tcPr>
                <w:p w14:paraId="075F5A33">
                  <w:pPr>
                    <w:pStyle w:val="66"/>
                    <w:ind w:firstLine="0" w:firstLineChars="0"/>
                    <w:jc w:val="center"/>
                    <w:rPr>
                      <w:rFonts w:hint="default"/>
                      <w:b w:val="0"/>
                      <w:bCs/>
                      <w:color w:val="auto"/>
                      <w:lang w:eastAsia="zh-CN"/>
                    </w:rPr>
                  </w:pPr>
                  <w:r>
                    <w:rPr>
                      <w:rFonts w:hint="eastAsia"/>
                      <w:b w:val="0"/>
                      <w:bCs/>
                      <w:color w:val="auto"/>
                      <w:lang w:eastAsia="zh-CN"/>
                    </w:rPr>
                    <w:t>吸附</w:t>
                  </w:r>
                  <w:r>
                    <w:rPr>
                      <w:rFonts w:hint="default"/>
                      <w:b w:val="0"/>
                      <w:bCs/>
                      <w:color w:val="auto"/>
                      <w:lang w:eastAsia="zh-CN"/>
                    </w:rPr>
                    <w:t>处理</w:t>
                  </w:r>
                </w:p>
              </w:tc>
              <w:tc>
                <w:tcPr>
                  <w:tcW w:w="1534" w:type="pct"/>
                  <w:gridSpan w:val="2"/>
                  <w:noWrap w:val="0"/>
                  <w:vAlign w:val="center"/>
                </w:tcPr>
                <w:p w14:paraId="7294CAE6">
                  <w:pPr>
                    <w:pStyle w:val="66"/>
                    <w:ind w:firstLine="0" w:firstLineChars="0"/>
                    <w:jc w:val="center"/>
                    <w:rPr>
                      <w:rFonts w:hint="default"/>
                      <w:b w:val="0"/>
                      <w:bCs/>
                      <w:color w:val="auto"/>
                      <w:lang w:eastAsia="zh-CN"/>
                    </w:rPr>
                  </w:pPr>
                  <w:r>
                    <w:rPr>
                      <w:rFonts w:hint="eastAsia"/>
                      <w:b w:val="0"/>
                      <w:bCs/>
                      <w:color w:val="auto"/>
                      <w:lang w:val="en-US" w:eastAsia="zh-CN"/>
                    </w:rPr>
                    <w:t>VOC</w:t>
                  </w:r>
                  <w:r>
                    <w:rPr>
                      <w:rFonts w:hint="eastAsia"/>
                      <w:b w:val="0"/>
                      <w:bCs/>
                      <w:color w:val="auto"/>
                      <w:vertAlign w:val="subscript"/>
                      <w:lang w:val="en-US" w:eastAsia="zh-CN"/>
                    </w:rPr>
                    <w:t>S</w:t>
                  </w:r>
                </w:p>
              </w:tc>
              <w:tc>
                <w:tcPr>
                  <w:tcW w:w="595" w:type="pct"/>
                  <w:shd w:val="clear" w:color="auto" w:fill="auto"/>
                  <w:noWrap w:val="0"/>
                  <w:vAlign w:val="center"/>
                </w:tcPr>
                <w:p w14:paraId="12C79F72">
                  <w:pPr>
                    <w:pStyle w:val="66"/>
                    <w:ind w:firstLine="0" w:firstLineChars="0"/>
                    <w:jc w:val="center"/>
                    <w:rPr>
                      <w:rFonts w:hint="default"/>
                      <w:b w:val="0"/>
                      <w:bCs/>
                      <w:color w:val="auto"/>
                      <w:lang w:val="en-US" w:eastAsia="zh-CN"/>
                    </w:rPr>
                  </w:pPr>
                  <w:r>
                    <w:rPr>
                      <w:rFonts w:hint="eastAsia"/>
                      <w:b w:val="0"/>
                      <w:bCs/>
                      <w:color w:val="auto"/>
                      <w:lang w:val="en-US" w:eastAsia="zh-CN"/>
                    </w:rPr>
                    <w:t>0.367</w:t>
                  </w:r>
                </w:p>
              </w:tc>
            </w:tr>
            <w:tr w14:paraId="2A48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427A99A3">
                  <w:pPr>
                    <w:pStyle w:val="66"/>
                    <w:ind w:firstLine="0" w:firstLineChars="0"/>
                    <w:jc w:val="center"/>
                    <w:rPr>
                      <w:rFonts w:hint="default"/>
                      <w:b w:val="0"/>
                      <w:bCs/>
                      <w:color w:val="auto"/>
                      <w:lang w:eastAsia="zh-CN"/>
                    </w:rPr>
                  </w:pPr>
                </w:p>
              </w:tc>
              <w:tc>
                <w:tcPr>
                  <w:tcW w:w="680" w:type="pct"/>
                  <w:vMerge w:val="continue"/>
                  <w:noWrap w:val="0"/>
                  <w:vAlign w:val="center"/>
                </w:tcPr>
                <w:p w14:paraId="4050AD83">
                  <w:pPr>
                    <w:pStyle w:val="66"/>
                    <w:ind w:firstLine="0" w:firstLineChars="0"/>
                    <w:jc w:val="center"/>
                    <w:rPr>
                      <w:rFonts w:hint="default"/>
                      <w:b w:val="0"/>
                      <w:bCs/>
                      <w:color w:val="auto"/>
                      <w:lang w:eastAsia="zh-CN"/>
                    </w:rPr>
                  </w:pPr>
                </w:p>
              </w:tc>
              <w:tc>
                <w:tcPr>
                  <w:tcW w:w="1534" w:type="pct"/>
                  <w:gridSpan w:val="2"/>
                  <w:noWrap w:val="0"/>
                  <w:vAlign w:val="center"/>
                </w:tcPr>
                <w:p w14:paraId="547FA082">
                  <w:pPr>
                    <w:pStyle w:val="66"/>
                    <w:ind w:firstLine="0" w:firstLineChars="0"/>
                    <w:jc w:val="center"/>
                    <w:rPr>
                      <w:rFonts w:hint="default"/>
                      <w:b w:val="0"/>
                      <w:bCs/>
                      <w:color w:val="auto"/>
                      <w:lang w:val="en-US" w:eastAsia="zh-CN"/>
                    </w:rPr>
                  </w:pPr>
                  <w:r>
                    <w:rPr>
                      <w:rFonts w:hint="default"/>
                      <w:b w:val="0"/>
                      <w:bCs/>
                      <w:color w:val="auto"/>
                      <w:lang w:eastAsia="zh-CN"/>
                    </w:rPr>
                    <w:t>漆渣</w:t>
                  </w:r>
                </w:p>
              </w:tc>
              <w:tc>
                <w:tcPr>
                  <w:tcW w:w="595" w:type="pct"/>
                  <w:shd w:val="clear" w:color="auto" w:fill="auto"/>
                  <w:noWrap w:val="0"/>
                  <w:vAlign w:val="center"/>
                </w:tcPr>
                <w:p w14:paraId="225CB533">
                  <w:pPr>
                    <w:pStyle w:val="66"/>
                    <w:ind w:firstLine="0" w:firstLineChars="0"/>
                    <w:jc w:val="center"/>
                    <w:rPr>
                      <w:rFonts w:hint="default"/>
                      <w:b w:val="0"/>
                      <w:bCs/>
                      <w:color w:val="auto"/>
                      <w:lang w:val="en-US" w:eastAsia="zh-CN"/>
                    </w:rPr>
                  </w:pPr>
                  <w:r>
                    <w:rPr>
                      <w:rFonts w:hint="eastAsia"/>
                      <w:b w:val="0"/>
                      <w:bCs/>
                      <w:color w:val="auto"/>
                      <w:lang w:val="en-US" w:eastAsia="zh-CN"/>
                    </w:rPr>
                    <w:t>1.1025</w:t>
                  </w:r>
                </w:p>
              </w:tc>
            </w:tr>
            <w:tr w14:paraId="21DC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89" w:type="pct"/>
                  <w:gridSpan w:val="2"/>
                  <w:vMerge w:val="continue"/>
                  <w:noWrap w:val="0"/>
                  <w:vAlign w:val="center"/>
                </w:tcPr>
                <w:p w14:paraId="2DB3AEAB">
                  <w:pPr>
                    <w:pStyle w:val="66"/>
                    <w:ind w:firstLine="0" w:firstLineChars="0"/>
                    <w:jc w:val="center"/>
                    <w:rPr>
                      <w:rFonts w:hint="default"/>
                      <w:b w:val="0"/>
                      <w:bCs/>
                      <w:color w:val="auto"/>
                      <w:lang w:eastAsia="zh-CN"/>
                    </w:rPr>
                  </w:pPr>
                </w:p>
              </w:tc>
              <w:tc>
                <w:tcPr>
                  <w:tcW w:w="680" w:type="pct"/>
                  <w:noWrap w:val="0"/>
                  <w:vAlign w:val="center"/>
                </w:tcPr>
                <w:p w14:paraId="2D998FCF">
                  <w:pPr>
                    <w:pStyle w:val="66"/>
                    <w:ind w:firstLine="0" w:firstLineChars="0"/>
                    <w:jc w:val="center"/>
                    <w:rPr>
                      <w:rFonts w:hint="default"/>
                      <w:b w:val="0"/>
                      <w:bCs/>
                      <w:color w:val="auto"/>
                      <w:lang w:eastAsia="zh-CN"/>
                    </w:rPr>
                  </w:pPr>
                  <w:r>
                    <w:rPr>
                      <w:rFonts w:hint="default"/>
                      <w:b w:val="0"/>
                      <w:bCs/>
                      <w:color w:val="auto"/>
                      <w:lang w:eastAsia="zh-CN"/>
                    </w:rPr>
                    <w:t>水分挥发</w:t>
                  </w:r>
                </w:p>
              </w:tc>
              <w:tc>
                <w:tcPr>
                  <w:tcW w:w="1534" w:type="pct"/>
                  <w:gridSpan w:val="2"/>
                  <w:noWrap w:val="0"/>
                  <w:vAlign w:val="center"/>
                </w:tcPr>
                <w:p w14:paraId="2B03FE94">
                  <w:pPr>
                    <w:pStyle w:val="66"/>
                    <w:ind w:firstLine="0" w:firstLineChars="0"/>
                    <w:jc w:val="center"/>
                    <w:rPr>
                      <w:rFonts w:hint="default"/>
                      <w:b w:val="0"/>
                      <w:bCs/>
                      <w:color w:val="auto"/>
                      <w:lang w:eastAsia="zh-CN"/>
                    </w:rPr>
                  </w:pPr>
                  <w:r>
                    <w:rPr>
                      <w:rFonts w:hint="default"/>
                      <w:b w:val="0"/>
                      <w:bCs/>
                      <w:color w:val="auto"/>
                      <w:lang w:eastAsia="zh-CN"/>
                    </w:rPr>
                    <w:t>水</w:t>
                  </w:r>
                </w:p>
              </w:tc>
              <w:tc>
                <w:tcPr>
                  <w:tcW w:w="595" w:type="pct"/>
                  <w:shd w:val="clear" w:color="auto" w:fill="auto"/>
                  <w:noWrap w:val="0"/>
                  <w:vAlign w:val="center"/>
                </w:tcPr>
                <w:p w14:paraId="628F2ED8">
                  <w:pPr>
                    <w:pStyle w:val="66"/>
                    <w:ind w:firstLine="0" w:firstLineChars="0"/>
                    <w:jc w:val="center"/>
                    <w:rPr>
                      <w:rFonts w:hint="default"/>
                      <w:b w:val="0"/>
                      <w:bCs/>
                      <w:color w:val="auto"/>
                      <w:lang w:val="en-US" w:eastAsia="zh-CN"/>
                    </w:rPr>
                  </w:pPr>
                  <w:r>
                    <w:rPr>
                      <w:rFonts w:hint="eastAsia"/>
                      <w:b w:val="0"/>
                      <w:bCs/>
                      <w:color w:val="auto"/>
                      <w:lang w:val="en-US" w:eastAsia="zh-CN"/>
                    </w:rPr>
                    <w:t>0.061</w:t>
                  </w:r>
                </w:p>
              </w:tc>
            </w:tr>
            <w:tr w14:paraId="36D6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6" w:type="pct"/>
                  <w:noWrap w:val="0"/>
                  <w:vAlign w:val="center"/>
                </w:tcPr>
                <w:p w14:paraId="698D0678">
                  <w:pPr>
                    <w:pStyle w:val="66"/>
                    <w:ind w:firstLine="0" w:firstLineChars="0"/>
                    <w:jc w:val="center"/>
                    <w:rPr>
                      <w:rFonts w:hint="default"/>
                      <w:b w:val="0"/>
                      <w:bCs/>
                      <w:color w:val="auto"/>
                      <w:lang w:eastAsia="zh-CN"/>
                    </w:rPr>
                  </w:pPr>
                  <w:r>
                    <w:rPr>
                      <w:rFonts w:hint="default"/>
                      <w:b w:val="0"/>
                      <w:bCs/>
                      <w:color w:val="auto"/>
                      <w:lang w:eastAsia="zh-CN"/>
                    </w:rPr>
                    <w:t>合计</w:t>
                  </w:r>
                </w:p>
              </w:tc>
              <w:tc>
                <w:tcPr>
                  <w:tcW w:w="1103" w:type="pct"/>
                  <w:noWrap w:val="0"/>
                  <w:vAlign w:val="center"/>
                </w:tcPr>
                <w:p w14:paraId="7F995FCB">
                  <w:pPr>
                    <w:pStyle w:val="66"/>
                    <w:ind w:firstLine="0" w:firstLineChars="0"/>
                    <w:jc w:val="center"/>
                    <w:rPr>
                      <w:rFonts w:hint="default"/>
                      <w:b w:val="0"/>
                      <w:bCs/>
                      <w:color w:val="auto"/>
                      <w:lang w:val="en-US" w:eastAsia="zh-CN"/>
                    </w:rPr>
                  </w:pPr>
                  <w:r>
                    <w:rPr>
                      <w:rFonts w:hint="eastAsia"/>
                      <w:b w:val="0"/>
                      <w:bCs/>
                      <w:color w:val="auto"/>
                      <w:lang w:val="en-US" w:eastAsia="zh-CN"/>
                    </w:rPr>
                    <w:t>4.67</w:t>
                  </w:r>
                </w:p>
              </w:tc>
              <w:tc>
                <w:tcPr>
                  <w:tcW w:w="2214" w:type="pct"/>
                  <w:gridSpan w:val="3"/>
                  <w:noWrap w:val="0"/>
                  <w:vAlign w:val="center"/>
                </w:tcPr>
                <w:p w14:paraId="08849686">
                  <w:pPr>
                    <w:pStyle w:val="66"/>
                    <w:ind w:firstLine="0" w:firstLineChars="0"/>
                    <w:jc w:val="center"/>
                    <w:rPr>
                      <w:rFonts w:hint="default"/>
                      <w:b w:val="0"/>
                      <w:bCs/>
                      <w:color w:val="auto"/>
                      <w:lang w:eastAsia="zh-CN"/>
                    </w:rPr>
                  </w:pPr>
                  <w:r>
                    <w:rPr>
                      <w:rFonts w:hint="default"/>
                      <w:b w:val="0"/>
                      <w:bCs/>
                      <w:color w:val="auto"/>
                      <w:lang w:eastAsia="zh-CN"/>
                    </w:rPr>
                    <w:t>合计</w:t>
                  </w:r>
                </w:p>
              </w:tc>
              <w:tc>
                <w:tcPr>
                  <w:tcW w:w="595" w:type="pct"/>
                  <w:shd w:val="clear" w:color="auto" w:fill="auto"/>
                  <w:noWrap w:val="0"/>
                  <w:vAlign w:val="center"/>
                </w:tcPr>
                <w:p w14:paraId="0ADA419F">
                  <w:pPr>
                    <w:pStyle w:val="66"/>
                    <w:ind w:firstLine="0" w:firstLineChars="0"/>
                    <w:jc w:val="center"/>
                    <w:rPr>
                      <w:rFonts w:hint="default"/>
                      <w:b w:val="0"/>
                      <w:bCs/>
                      <w:color w:val="auto"/>
                      <w:lang w:val="en-US" w:eastAsia="zh-CN"/>
                    </w:rPr>
                  </w:pPr>
                  <w:r>
                    <w:rPr>
                      <w:rFonts w:hint="eastAsia"/>
                      <w:b w:val="0"/>
                      <w:bCs/>
                      <w:color w:val="auto"/>
                      <w:lang w:val="en-US" w:eastAsia="zh-CN"/>
                    </w:rPr>
                    <w:t>4.67</w:t>
                  </w:r>
                </w:p>
              </w:tc>
            </w:tr>
          </w:tbl>
          <w:p w14:paraId="7C3A3CF2">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bCs/>
                <w:color w:val="auto"/>
                <w:sz w:val="24"/>
                <w:highlight w:val="none"/>
              </w:rPr>
            </w:pPr>
            <w:r>
              <w:rPr>
                <w:rFonts w:hint="eastAsia"/>
                <w:bCs/>
                <w:color w:val="auto"/>
                <w:sz w:val="24"/>
                <w:highlight w:val="none"/>
                <w:lang w:val="en-US" w:eastAsia="zh-CN"/>
              </w:rPr>
              <w:t>7、</w:t>
            </w:r>
            <w:r>
              <w:rPr>
                <w:bCs/>
                <w:color w:val="auto"/>
                <w:sz w:val="24"/>
                <w:highlight w:val="none"/>
              </w:rPr>
              <w:t>劳动定员和工作时间</w:t>
            </w:r>
          </w:p>
          <w:p w14:paraId="523AB655">
            <w:pPr>
              <w:keepNext w:val="0"/>
              <w:keepLines w:val="0"/>
              <w:pageBreakBefore w:val="0"/>
              <w:widowControl w:val="0"/>
              <w:kinsoku/>
              <w:wordWrap/>
              <w:overflowPunct/>
              <w:topLinePunct w:val="0"/>
              <w:autoSpaceDE/>
              <w:autoSpaceDN/>
              <w:bidi w:val="0"/>
              <w:adjustRightInd/>
              <w:snapToGrid/>
              <w:jc w:val="left"/>
              <w:textAlignment w:val="auto"/>
              <w:rPr>
                <w:rFonts w:hint="eastAsia" w:eastAsia="宋体"/>
                <w:color w:val="auto"/>
                <w:lang w:val="en-US" w:eastAsia="zh-CN"/>
              </w:rPr>
            </w:pPr>
            <w:r>
              <w:rPr>
                <w:rFonts w:hint="eastAsia" w:ascii="宋体" w:hAnsi="宋体" w:eastAsia="宋体" w:cs="宋体"/>
                <w:color w:val="auto"/>
                <w:kern w:val="0"/>
                <w:sz w:val="24"/>
                <w:szCs w:val="24"/>
                <w:highlight w:val="none"/>
                <w:lang w:val="en-US" w:eastAsia="zh-CN" w:bidi="ar"/>
              </w:rPr>
              <w:t>本项目劳动定员</w:t>
            </w:r>
            <w:r>
              <w:rPr>
                <w:rFonts w:hint="eastAsia" w:cs="Times New Roman"/>
                <w:color w:val="auto"/>
                <w:kern w:val="0"/>
                <w:sz w:val="24"/>
                <w:szCs w:val="24"/>
                <w:highlight w:val="none"/>
                <w:lang w:val="en-US" w:eastAsia="zh-CN" w:bidi="ar"/>
              </w:rPr>
              <w:t>40</w:t>
            </w:r>
            <w:r>
              <w:rPr>
                <w:rFonts w:hint="eastAsia" w:ascii="宋体" w:hAnsi="宋体" w:eastAsia="宋体" w:cs="宋体"/>
                <w:color w:val="auto"/>
                <w:kern w:val="0"/>
                <w:sz w:val="24"/>
                <w:szCs w:val="24"/>
                <w:highlight w:val="none"/>
                <w:lang w:val="en-US" w:eastAsia="zh-CN" w:bidi="ar"/>
              </w:rPr>
              <w:t>人</w:t>
            </w:r>
            <w:r>
              <w:rPr>
                <w:rFonts w:hint="eastAsia"/>
                <w:color w:val="auto"/>
                <w:lang w:val="en-US" w:eastAsia="zh-CN"/>
              </w:rPr>
              <w:t>，</w:t>
            </w:r>
            <w:r>
              <w:rPr>
                <w:rFonts w:hint="eastAsia" w:eastAsia="宋体"/>
                <w:color w:val="auto"/>
                <w:lang w:val="en-US" w:eastAsia="zh-CN"/>
              </w:rPr>
              <w:t>全年生产300天。采用单班制，每班工作8小时，不设置食堂，不设宿舍。</w:t>
            </w:r>
          </w:p>
          <w:p w14:paraId="3522B15A">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8、公用工程</w:t>
            </w:r>
          </w:p>
          <w:p w14:paraId="157D63FB">
            <w:pPr>
              <w:keepNext/>
              <w:keepLines/>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kern w:val="0"/>
                <w:sz w:val="24"/>
                <w:szCs w:val="24"/>
                <w:highlight w:val="none"/>
                <w:lang w:val="en-US" w:eastAsia="zh-CN" w:bidi="ar"/>
              </w:rPr>
            </w:pPr>
            <w:r>
              <w:rPr>
                <w:rFonts w:hint="eastAsia" w:ascii="Times New Roman" w:hAnsi="Times New Roman"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供、排水</w:t>
            </w:r>
          </w:p>
          <w:p w14:paraId="11450524">
            <w:pPr>
              <w:pStyle w:val="11"/>
              <w:keepNext w:val="0"/>
              <w:keepLines w:val="0"/>
              <w:pageBreakBefore w:val="0"/>
              <w:widowControl/>
              <w:kinsoku/>
              <w:wordWrap/>
              <w:overflowPunct/>
              <w:topLinePunct w:val="0"/>
              <w:autoSpaceDE/>
              <w:autoSpaceDN/>
              <w:bidi w:val="0"/>
              <w:adjustRightInd/>
              <w:snapToGrid w:val="0"/>
              <w:spacing w:before="0" w:after="0" w:line="360" w:lineRule="auto"/>
              <w:ind w:right="0"/>
              <w:textAlignment w:val="auto"/>
              <w:rPr>
                <w:rFonts w:hint="eastAsia" w:ascii="Times New Roman" w:hAnsi="Times New Roman" w:eastAsia="宋体" w:cs="宋体"/>
                <w:bCs/>
                <w:color w:val="auto"/>
                <w:kern w:val="2"/>
                <w:sz w:val="24"/>
                <w:szCs w:val="21"/>
                <w:highlight w:val="none"/>
                <w:lang w:val="en-US" w:eastAsia="zh-CN" w:bidi="ar-SA"/>
              </w:rPr>
            </w:pPr>
            <w:r>
              <w:rPr>
                <w:rFonts w:hint="eastAsia" w:ascii="Times New Roman" w:hAnsi="Times New Roman" w:eastAsia="宋体" w:cs="宋体"/>
                <w:bCs/>
                <w:color w:val="auto"/>
                <w:kern w:val="2"/>
                <w:sz w:val="24"/>
                <w:szCs w:val="21"/>
                <w:highlight w:val="none"/>
                <w:lang w:val="en-US" w:eastAsia="zh-CN" w:bidi="ar-SA"/>
              </w:rPr>
              <w:t>供水：</w:t>
            </w:r>
            <w:r>
              <w:rPr>
                <w:rFonts w:hint="eastAsia" w:cs="宋体"/>
                <w:bCs/>
                <w:color w:val="auto"/>
                <w:kern w:val="2"/>
                <w:sz w:val="24"/>
                <w:szCs w:val="21"/>
                <w:highlight w:val="none"/>
                <w:lang w:val="en-US" w:eastAsia="zh-CN" w:bidi="ar-SA"/>
              </w:rPr>
              <w:t>本</w:t>
            </w:r>
            <w:r>
              <w:rPr>
                <w:rFonts w:hint="eastAsia" w:ascii="Times New Roman" w:hAnsi="Times New Roman" w:eastAsia="宋体" w:cs="宋体"/>
                <w:bCs/>
                <w:color w:val="auto"/>
                <w:kern w:val="2"/>
                <w:sz w:val="24"/>
                <w:szCs w:val="21"/>
                <w:highlight w:val="none"/>
                <w:lang w:val="en-US" w:eastAsia="zh-CN" w:bidi="ar-SA"/>
              </w:rPr>
              <w:t>项目用水主要为生活用水</w:t>
            </w:r>
            <w:r>
              <w:rPr>
                <w:rFonts w:hint="eastAsia" w:cs="宋体"/>
                <w:bCs/>
                <w:color w:val="auto"/>
                <w:kern w:val="2"/>
                <w:sz w:val="24"/>
                <w:szCs w:val="21"/>
                <w:highlight w:val="none"/>
                <w:lang w:val="en-US" w:eastAsia="zh-CN" w:bidi="ar-SA"/>
              </w:rPr>
              <w:t>、循环冷却水和调漆用水</w:t>
            </w:r>
            <w:r>
              <w:rPr>
                <w:rFonts w:hint="eastAsia" w:ascii="Times New Roman" w:hAnsi="Times New Roman" w:eastAsia="宋体" w:cs="宋体"/>
                <w:bCs/>
                <w:color w:val="auto"/>
                <w:kern w:val="2"/>
                <w:sz w:val="24"/>
                <w:szCs w:val="21"/>
                <w:highlight w:val="none"/>
                <w:lang w:val="en-US" w:eastAsia="zh-CN" w:bidi="ar-SA"/>
              </w:rPr>
              <w:t>。供水水源为蚌埠市市政供水管网供给。</w:t>
            </w:r>
          </w:p>
          <w:p w14:paraId="7592773A">
            <w:pPr>
              <w:keepNext/>
              <w:keepLines/>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color w:val="auto"/>
                <w:kern w:val="0"/>
                <w:sz w:val="24"/>
                <w:szCs w:val="24"/>
                <w:highlight w:val="none"/>
                <w:lang w:val="en-US" w:eastAsia="zh-CN" w:bidi="ar"/>
              </w:rPr>
            </w:pPr>
            <w:r>
              <w:rPr>
                <w:rFonts w:hint="eastAsia" w:ascii="Times New Roman" w:hAnsi="Times New Roman" w:eastAsia="宋体" w:cs="宋体"/>
                <w:bCs/>
                <w:color w:val="auto"/>
                <w:highlight w:val="none"/>
                <w:lang w:val="en-US" w:eastAsia="zh-CN"/>
              </w:rPr>
              <w:t>排水：采用雨污分流制，雨水经雨水管收集后排入市政雨水管网。本项目不独立设置污水处理站，项目废水主要为</w:t>
            </w:r>
            <w:r>
              <w:rPr>
                <w:rFonts w:hint="eastAsia" w:cs="宋体"/>
                <w:bCs/>
                <w:color w:val="auto"/>
                <w:highlight w:val="none"/>
                <w:lang w:val="en-US" w:eastAsia="zh-CN"/>
              </w:rPr>
              <w:t>生活污水，无生产废水。</w:t>
            </w:r>
            <w:r>
              <w:rPr>
                <w:rFonts w:hint="eastAsia" w:ascii="Times New Roman" w:hAnsi="Times New Roman" w:eastAsia="宋体" w:cs="宋体"/>
                <w:bCs/>
                <w:color w:val="auto"/>
                <w:highlight w:val="none"/>
                <w:lang w:val="en-US" w:eastAsia="zh-CN"/>
              </w:rPr>
              <w:t>生活污水经</w:t>
            </w:r>
            <w:r>
              <w:rPr>
                <w:rFonts w:hint="eastAsia" w:eastAsia="宋体" w:cs="宋体"/>
                <w:bCs/>
                <w:color w:val="auto"/>
                <w:highlight w:val="none"/>
                <w:lang w:val="en-US" w:eastAsia="zh-CN"/>
              </w:rPr>
              <w:t>化粪池</w:t>
            </w:r>
            <w:r>
              <w:rPr>
                <w:rFonts w:hint="eastAsia" w:ascii="Times New Roman" w:hAnsi="Times New Roman" w:eastAsia="宋体" w:cs="宋体"/>
                <w:bCs/>
                <w:color w:val="auto"/>
                <w:highlight w:val="none"/>
                <w:lang w:val="en-US" w:eastAsia="zh-CN"/>
              </w:rPr>
              <w:t>处理后</w:t>
            </w:r>
            <w:r>
              <w:rPr>
                <w:rFonts w:hint="eastAsia" w:cs="宋体"/>
                <w:bCs/>
                <w:color w:val="auto"/>
                <w:highlight w:val="none"/>
                <w:lang w:val="en-US" w:eastAsia="zh-CN"/>
              </w:rPr>
              <w:t>与循环冷却水一同</w:t>
            </w:r>
            <w:r>
              <w:rPr>
                <w:rFonts w:hint="eastAsia" w:ascii="Times New Roman" w:hAnsi="Times New Roman" w:eastAsia="宋体" w:cs="宋体"/>
                <w:color w:val="auto"/>
                <w:kern w:val="0"/>
                <w:sz w:val="24"/>
                <w:szCs w:val="24"/>
                <w:highlight w:val="none"/>
                <w:lang w:val="en-US" w:eastAsia="zh-CN" w:bidi="ar"/>
              </w:rPr>
              <w:t>通过市政污水管网进入蚌埠市第二污水处理厂。</w:t>
            </w:r>
          </w:p>
          <w:p w14:paraId="6E927BA2">
            <w:pPr>
              <w:keepNext/>
              <w:keepLines/>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color w:val="auto"/>
                <w:kern w:val="0"/>
                <w:sz w:val="24"/>
                <w:szCs w:val="24"/>
                <w:highlight w:val="none"/>
                <w:lang w:val="en-US" w:eastAsia="zh-CN" w:bidi="ar"/>
              </w:rPr>
            </w:pPr>
            <w:r>
              <w:rPr>
                <w:rFonts w:hint="eastAsia" w:ascii="Times New Roman" w:hAnsi="Times New Roman" w:eastAsia="宋体" w:cs="宋体"/>
                <w:color w:val="auto"/>
                <w:kern w:val="0"/>
                <w:sz w:val="24"/>
                <w:szCs w:val="24"/>
                <w:highlight w:val="none"/>
                <w:lang w:val="en-US" w:eastAsia="zh-CN" w:bidi="ar"/>
              </w:rPr>
              <w:t>（2）供电系统</w:t>
            </w:r>
          </w:p>
          <w:p w14:paraId="7960A28D">
            <w:pPr>
              <w:keepNext/>
              <w:keepLines/>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color w:val="auto"/>
                <w:kern w:val="0"/>
                <w:sz w:val="24"/>
                <w:szCs w:val="24"/>
                <w:highlight w:val="none"/>
                <w:lang w:val="en-US" w:eastAsia="zh-CN" w:bidi="ar"/>
              </w:rPr>
            </w:pPr>
            <w:r>
              <w:rPr>
                <w:rFonts w:hint="eastAsia" w:ascii="Times New Roman" w:hAnsi="Times New Roman" w:eastAsia="宋体" w:cs="宋体"/>
                <w:color w:val="auto"/>
                <w:kern w:val="0"/>
                <w:sz w:val="24"/>
                <w:szCs w:val="24"/>
                <w:highlight w:val="none"/>
                <w:lang w:val="en-US" w:eastAsia="zh-CN" w:bidi="ar"/>
              </w:rPr>
              <w:t>项目供电由园区供电电网供应。</w:t>
            </w:r>
          </w:p>
          <w:p w14:paraId="1B317105">
            <w:pPr>
              <w:keepNext/>
              <w:keepLines/>
              <w:pageBreakBefore w:val="0"/>
              <w:widowControl w:val="0"/>
              <w:numPr>
                <w:ilvl w:val="0"/>
                <w:numId w:val="4"/>
              </w:numPr>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color w:val="auto"/>
                <w:kern w:val="0"/>
                <w:sz w:val="24"/>
                <w:szCs w:val="24"/>
                <w:highlight w:val="none"/>
                <w:lang w:val="en-US" w:eastAsia="zh-CN" w:bidi="ar"/>
              </w:rPr>
            </w:pPr>
            <w:r>
              <w:rPr>
                <w:rFonts w:hint="eastAsia" w:ascii="Times New Roman" w:hAnsi="Times New Roman" w:eastAsia="宋体" w:cs="宋体"/>
                <w:color w:val="auto"/>
                <w:kern w:val="0"/>
                <w:sz w:val="24"/>
                <w:szCs w:val="24"/>
                <w:highlight w:val="none"/>
                <w:lang w:val="en-US" w:eastAsia="zh-CN" w:bidi="ar"/>
              </w:rPr>
              <w:t>水平衡</w:t>
            </w:r>
          </w:p>
          <w:p w14:paraId="3F99F21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eastAsia" w:ascii="Times New Roman" w:hAnsi="Times New Roman" w:eastAsiaTheme="minorEastAsia" w:cstheme="minorBidi"/>
                <w:color w:val="000000" w:themeColor="text1"/>
                <w:kern w:val="2"/>
                <w:sz w:val="24"/>
                <w:szCs w:val="24"/>
                <w:lang w:val="en-US" w:eastAsia="zh-CN" w:bidi="ar-SA"/>
                <w14:textFill>
                  <w14:solidFill>
                    <w14:schemeClr w14:val="tx1"/>
                  </w14:solidFill>
                </w14:textFill>
              </w:rPr>
            </w:pPr>
            <w:r>
              <w:rPr>
                <w:rFonts w:hint="eastAsia" w:cstheme="minorBidi"/>
                <w:color w:val="000000" w:themeColor="text1"/>
                <w:kern w:val="2"/>
                <w:sz w:val="24"/>
                <w:szCs w:val="24"/>
                <w:lang w:val="en-US" w:eastAsia="zh-CN" w:bidi="ar-SA"/>
                <w14:textFill>
                  <w14:solidFill>
                    <w14:schemeClr w14:val="tx1"/>
                  </w14:solidFill>
                </w14:textFill>
              </w:rPr>
              <w:t>（1）</w:t>
            </w:r>
            <w:r>
              <w:rPr>
                <w:rFonts w:hint="eastAsia" w:ascii="Times New Roman" w:hAnsi="Times New Roman" w:eastAsiaTheme="minorEastAsia" w:cstheme="minorBidi"/>
                <w:color w:val="000000" w:themeColor="text1"/>
                <w:kern w:val="2"/>
                <w:sz w:val="24"/>
                <w:szCs w:val="24"/>
                <w:lang w:val="en-US" w:eastAsia="zh-CN" w:bidi="ar-SA"/>
                <w14:textFill>
                  <w14:solidFill>
                    <w14:schemeClr w14:val="tx1"/>
                  </w14:solidFill>
                </w14:textFill>
              </w:rPr>
              <w:t>职工办公生活用水</w:t>
            </w:r>
          </w:p>
          <w:p w14:paraId="2FB76E84">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bCs/>
                <w:color w:val="auto"/>
                <w:sz w:val="24"/>
                <w:highlight w:val="none"/>
              </w:rPr>
            </w:pPr>
            <w:r>
              <w:rPr>
                <w:color w:val="auto"/>
                <w:sz w:val="24"/>
                <w:highlight w:val="none"/>
              </w:rPr>
              <w:t>项目</w:t>
            </w:r>
            <w:r>
              <w:rPr>
                <w:bCs/>
                <w:color w:val="auto"/>
                <w:sz w:val="24"/>
                <w:highlight w:val="none"/>
              </w:rPr>
              <w:t>劳动定员</w:t>
            </w:r>
            <w:r>
              <w:rPr>
                <w:rFonts w:hint="eastAsia"/>
                <w:bCs/>
                <w:color w:val="auto"/>
                <w:sz w:val="24"/>
                <w:highlight w:val="none"/>
                <w:lang w:val="en-US" w:eastAsia="zh-CN"/>
              </w:rPr>
              <w:t>40</w:t>
            </w:r>
            <w:r>
              <w:rPr>
                <w:bCs/>
                <w:color w:val="auto"/>
                <w:sz w:val="24"/>
                <w:highlight w:val="none"/>
              </w:rPr>
              <w:t>人，采</w:t>
            </w:r>
            <w:r>
              <w:rPr>
                <w:rFonts w:hint="eastAsia"/>
                <w:bCs/>
                <w:color w:val="auto"/>
                <w:sz w:val="24"/>
                <w:highlight w:val="none"/>
              </w:rPr>
              <w:t>用一</w:t>
            </w:r>
            <w:r>
              <w:rPr>
                <w:bCs/>
                <w:color w:val="auto"/>
                <w:sz w:val="24"/>
                <w:highlight w:val="none"/>
              </w:rPr>
              <w:t>班</w:t>
            </w:r>
            <w:r>
              <w:rPr>
                <w:rFonts w:hint="eastAsia"/>
                <w:bCs/>
                <w:color w:val="auto"/>
                <w:sz w:val="24"/>
                <w:highlight w:val="none"/>
              </w:rPr>
              <w:t>8</w:t>
            </w:r>
            <w:r>
              <w:rPr>
                <w:bCs/>
                <w:color w:val="auto"/>
                <w:sz w:val="24"/>
                <w:highlight w:val="none"/>
              </w:rPr>
              <w:t>小时工作制度，年生产300天，不设食堂及宿舍。</w:t>
            </w:r>
            <w:r>
              <w:rPr>
                <w:rFonts w:hint="eastAsia"/>
                <w:bCs/>
                <w:color w:val="auto"/>
                <w:sz w:val="24"/>
                <w:highlight w:val="none"/>
              </w:rPr>
              <w:t>根据《安徽省行业用水定额》（DB34/T679-20</w:t>
            </w:r>
            <w:r>
              <w:rPr>
                <w:rFonts w:hint="eastAsia"/>
                <w:bCs/>
                <w:color w:val="auto"/>
                <w:sz w:val="24"/>
                <w:highlight w:val="none"/>
                <w:lang w:val="en-US" w:eastAsia="zh-CN"/>
              </w:rPr>
              <w:t>25</w:t>
            </w:r>
            <w:r>
              <w:rPr>
                <w:rFonts w:hint="eastAsia"/>
                <w:bCs/>
                <w:color w:val="auto"/>
                <w:sz w:val="24"/>
                <w:highlight w:val="none"/>
              </w:rPr>
              <w:t>），</w:t>
            </w:r>
            <w:r>
              <w:rPr>
                <w:bCs/>
                <w:color w:val="auto"/>
                <w:sz w:val="24"/>
                <w:highlight w:val="none"/>
              </w:rPr>
              <w:t>按</w:t>
            </w:r>
            <w:r>
              <w:rPr>
                <w:rFonts w:hint="eastAsia"/>
                <w:bCs/>
                <w:color w:val="auto"/>
                <w:sz w:val="24"/>
                <w:highlight w:val="none"/>
              </w:rPr>
              <w:t>50</w:t>
            </w:r>
            <w:r>
              <w:rPr>
                <w:bCs/>
                <w:color w:val="auto"/>
                <w:sz w:val="24"/>
                <w:highlight w:val="none"/>
              </w:rPr>
              <w:t>L/d·人计算，厂区生活用水用量为</w:t>
            </w:r>
            <w:r>
              <w:rPr>
                <w:rFonts w:hint="eastAsia"/>
                <w:bCs/>
                <w:color w:val="auto"/>
                <w:sz w:val="24"/>
                <w:highlight w:val="none"/>
                <w:lang w:val="en-US" w:eastAsia="zh-CN"/>
              </w:rPr>
              <w:t>600</w:t>
            </w:r>
            <w:r>
              <w:rPr>
                <w:color w:val="auto"/>
                <w:kern w:val="0"/>
                <w:sz w:val="24"/>
                <w:szCs w:val="20"/>
                <w:highlight w:val="none"/>
              </w:rPr>
              <w:t>m</w:t>
            </w:r>
            <w:r>
              <w:rPr>
                <w:color w:val="auto"/>
                <w:kern w:val="0"/>
                <w:sz w:val="24"/>
                <w:szCs w:val="20"/>
                <w:highlight w:val="none"/>
                <w:vertAlign w:val="superscript"/>
              </w:rPr>
              <w:t>3</w:t>
            </w:r>
            <w:r>
              <w:rPr>
                <w:color w:val="auto"/>
                <w:kern w:val="0"/>
                <w:sz w:val="24"/>
                <w:szCs w:val="20"/>
                <w:highlight w:val="none"/>
              </w:rPr>
              <w:t>/a</w:t>
            </w:r>
            <w:r>
              <w:rPr>
                <w:rFonts w:hint="eastAsia"/>
                <w:bCs/>
                <w:color w:val="auto"/>
                <w:sz w:val="24"/>
                <w:highlight w:val="none"/>
              </w:rPr>
              <w:t>（2</w:t>
            </w:r>
            <w:r>
              <w:rPr>
                <w:bCs/>
                <w:color w:val="auto"/>
                <w:sz w:val="24"/>
                <w:highlight w:val="none"/>
              </w:rPr>
              <w:t>m</w:t>
            </w:r>
            <w:r>
              <w:rPr>
                <w:bCs/>
                <w:color w:val="auto"/>
                <w:sz w:val="24"/>
                <w:highlight w:val="none"/>
                <w:vertAlign w:val="superscript"/>
              </w:rPr>
              <w:t>3</w:t>
            </w:r>
            <w:r>
              <w:rPr>
                <w:bCs/>
                <w:color w:val="auto"/>
                <w:sz w:val="24"/>
                <w:highlight w:val="none"/>
              </w:rPr>
              <w:t>/d</w:t>
            </w:r>
            <w:r>
              <w:rPr>
                <w:rFonts w:hint="eastAsia"/>
                <w:bCs/>
                <w:color w:val="auto"/>
                <w:sz w:val="24"/>
                <w:highlight w:val="none"/>
              </w:rPr>
              <w:t>）</w:t>
            </w:r>
            <w:r>
              <w:rPr>
                <w:bCs/>
                <w:color w:val="auto"/>
                <w:sz w:val="24"/>
                <w:highlight w:val="none"/>
              </w:rPr>
              <w:t>，排水系数取0.8，排水量约为</w:t>
            </w:r>
            <w:r>
              <w:rPr>
                <w:rFonts w:hint="eastAsia"/>
                <w:bCs/>
                <w:color w:val="auto"/>
                <w:sz w:val="24"/>
                <w:highlight w:val="none"/>
                <w:lang w:val="en-US" w:eastAsia="zh-CN"/>
              </w:rPr>
              <w:t>480</w:t>
            </w:r>
            <w:r>
              <w:rPr>
                <w:bCs/>
                <w:color w:val="auto"/>
                <w:sz w:val="24"/>
                <w:highlight w:val="none"/>
              </w:rPr>
              <w:t>m</w:t>
            </w:r>
            <w:r>
              <w:rPr>
                <w:bCs/>
                <w:color w:val="auto"/>
                <w:sz w:val="24"/>
                <w:highlight w:val="none"/>
                <w:vertAlign w:val="superscript"/>
              </w:rPr>
              <w:t>3</w:t>
            </w:r>
            <w:r>
              <w:rPr>
                <w:bCs/>
                <w:color w:val="auto"/>
                <w:sz w:val="24"/>
                <w:highlight w:val="none"/>
              </w:rPr>
              <w:t>/</w:t>
            </w:r>
            <w:r>
              <w:rPr>
                <w:rFonts w:hint="eastAsia"/>
                <w:bCs/>
                <w:color w:val="auto"/>
                <w:sz w:val="24"/>
                <w:highlight w:val="none"/>
              </w:rPr>
              <w:t>a（</w:t>
            </w:r>
            <w:r>
              <w:rPr>
                <w:rFonts w:hint="eastAsia"/>
                <w:bCs/>
                <w:color w:val="auto"/>
                <w:sz w:val="24"/>
                <w:highlight w:val="none"/>
                <w:lang w:val="en-US" w:eastAsia="zh-CN"/>
              </w:rPr>
              <w:t>1.6</w:t>
            </w:r>
            <w:r>
              <w:rPr>
                <w:bCs/>
                <w:color w:val="auto"/>
                <w:sz w:val="24"/>
                <w:highlight w:val="none"/>
              </w:rPr>
              <w:t>m</w:t>
            </w:r>
            <w:r>
              <w:rPr>
                <w:bCs/>
                <w:color w:val="auto"/>
                <w:sz w:val="24"/>
                <w:highlight w:val="none"/>
                <w:vertAlign w:val="superscript"/>
              </w:rPr>
              <w:t>3</w:t>
            </w:r>
            <w:r>
              <w:rPr>
                <w:bCs/>
                <w:color w:val="auto"/>
                <w:sz w:val="24"/>
                <w:highlight w:val="none"/>
              </w:rPr>
              <w:t>/d</w:t>
            </w:r>
            <w:r>
              <w:rPr>
                <w:rFonts w:hint="eastAsia"/>
                <w:bCs/>
                <w:color w:val="auto"/>
                <w:sz w:val="24"/>
                <w:highlight w:val="none"/>
              </w:rPr>
              <w:t>）</w:t>
            </w:r>
            <w:r>
              <w:rPr>
                <w:bCs/>
                <w:color w:val="auto"/>
                <w:sz w:val="24"/>
                <w:highlight w:val="none"/>
              </w:rPr>
              <w:t>。</w:t>
            </w:r>
          </w:p>
          <w:p w14:paraId="7B3667FB">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（2）循环冷却水</w:t>
            </w:r>
          </w:p>
          <w:p w14:paraId="663FCFF5">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生产用水主要为</w:t>
            </w:r>
            <w:r>
              <w:rPr>
                <w:rFonts w:hint="eastAsia" w:ascii="Times New Roman" w:hAnsi="Times New Roman" w:eastAsia="宋体" w:cs="Times New Roman"/>
                <w:color w:val="auto"/>
                <w:sz w:val="24"/>
                <w:highlight w:val="none"/>
                <w:lang w:eastAsia="zh-CN"/>
              </w:rPr>
              <w:t>循环</w:t>
            </w:r>
            <w:r>
              <w:rPr>
                <w:rFonts w:hint="default" w:ascii="Times New Roman" w:hAnsi="Times New Roman" w:eastAsia="宋体" w:cs="Times New Roman"/>
                <w:color w:val="auto"/>
                <w:sz w:val="24"/>
                <w:highlight w:val="none"/>
                <w:lang w:eastAsia="zh-CN"/>
              </w:rPr>
              <w:t>冷却水，冷却水在塑料制品挤出生产过程中用于制品定型冷却、设备模具冷却，是不可或缺的冷媒。</w:t>
            </w:r>
            <w:r>
              <w:rPr>
                <w:rFonts w:hint="default" w:ascii="Times New Roman" w:hAnsi="Times New Roman" w:eastAsia="宋体" w:cs="Times New Roman"/>
                <w:color w:val="auto"/>
                <w:sz w:val="24"/>
                <w:highlight w:val="none"/>
                <w:lang w:val="en-US" w:eastAsia="zh-CN"/>
              </w:rPr>
              <w:t>项目</w:t>
            </w:r>
            <w:r>
              <w:rPr>
                <w:rFonts w:hint="eastAsia" w:ascii="Times New Roman" w:hAnsi="Times New Roman" w:eastAsia="宋体" w:cs="Times New Roman"/>
                <w:color w:val="auto"/>
                <w:sz w:val="24"/>
                <w:highlight w:val="none"/>
                <w:lang w:eastAsia="zh-CN"/>
              </w:rPr>
              <w:t>循环</w:t>
            </w:r>
            <w:r>
              <w:rPr>
                <w:rFonts w:hint="eastAsia" w:ascii="Times New Roman" w:hAnsi="Times New Roman" w:eastAsia="宋体" w:cs="Times New Roman"/>
                <w:color w:val="auto"/>
                <w:sz w:val="24"/>
                <w:highlight w:val="none"/>
                <w:lang w:val="en-US" w:eastAsia="zh-CN"/>
              </w:rPr>
              <w:t>冷却水通过冷却塔散热降温后自流回到循环水箱，</w:t>
            </w:r>
            <w:r>
              <w:rPr>
                <w:rFonts w:hint="eastAsia" w:ascii="Times New Roman" w:hAnsi="Times New Roman" w:eastAsia="宋体" w:cs="Times New Roman"/>
                <w:color w:val="auto"/>
                <w:sz w:val="24"/>
                <w:highlight w:val="none"/>
                <w:lang w:eastAsia="zh-CN"/>
              </w:rPr>
              <w:t>循环水箱</w:t>
            </w:r>
            <w:r>
              <w:rPr>
                <w:rFonts w:hint="default" w:ascii="Times New Roman" w:hAnsi="Times New Roman" w:eastAsia="宋体" w:cs="Times New Roman"/>
                <w:color w:val="auto"/>
                <w:sz w:val="24"/>
                <w:highlight w:val="none"/>
                <w:lang w:eastAsia="zh-CN"/>
              </w:rPr>
              <w:t>容积为</w:t>
            </w:r>
            <w:r>
              <w:rPr>
                <w:rFonts w:hint="eastAsia" w:ascii="Times New Roman" w:hAnsi="Times New Roman" w:eastAsia="宋体" w:cs="Times New Roman"/>
                <w:color w:val="auto"/>
                <w:sz w:val="24"/>
                <w:highlight w:val="none"/>
                <w:lang w:val="en-US" w:eastAsia="zh-CN"/>
              </w:rPr>
              <w:t>10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eastAsia" w:ascii="Times New Roman" w:hAnsi="Times New Roman" w:eastAsia="宋体" w:cs="Times New Roman"/>
                <w:color w:val="auto"/>
                <w:sz w:val="24"/>
                <w:highlight w:val="none"/>
                <w:lang w:eastAsia="zh-CN"/>
              </w:rPr>
              <w:t>，循环水量为</w:t>
            </w:r>
            <w:r>
              <w:rPr>
                <w:rFonts w:hint="eastAsia" w:ascii="Times New Roman" w:hAnsi="Times New Roman" w:eastAsia="宋体" w:cs="Times New Roman"/>
                <w:color w:val="auto"/>
                <w:sz w:val="24"/>
                <w:highlight w:val="none"/>
                <w:lang w:val="en-US" w:eastAsia="zh-CN"/>
              </w:rPr>
              <w:t>8m</w:t>
            </w:r>
            <w:r>
              <w:rPr>
                <w:rFonts w:hint="eastAsia" w:ascii="Times New Roman" w:hAnsi="Times New Roman" w:eastAsia="宋体" w:cs="Times New Roman"/>
                <w:color w:val="auto"/>
                <w:sz w:val="24"/>
                <w:highlight w:val="none"/>
                <w:vertAlign w:val="superscript"/>
                <w:lang w:val="en-US" w:eastAsia="zh-CN"/>
              </w:rPr>
              <w:t>3</w:t>
            </w:r>
            <w:r>
              <w:rPr>
                <w:rFonts w:hint="eastAsia" w:ascii="Times New Roman" w:hAnsi="Times New Roman" w:eastAsia="宋体" w:cs="Times New Roman"/>
                <w:color w:val="auto"/>
                <w:sz w:val="24"/>
                <w:highlight w:val="none"/>
                <w:lang w:val="en-US" w:eastAsia="zh-CN"/>
              </w:rPr>
              <w:t>/h，</w:t>
            </w:r>
            <w:r>
              <w:rPr>
                <w:rFonts w:hint="eastAsia" w:ascii="Times New Roman" w:hAnsi="Times New Roman" w:eastAsia="宋体" w:cs="Times New Roman"/>
                <w:color w:val="auto"/>
                <w:sz w:val="24"/>
                <w:highlight w:val="none"/>
                <w:lang w:eastAsia="zh-CN"/>
              </w:rPr>
              <w:t>循环</w:t>
            </w:r>
            <w:r>
              <w:rPr>
                <w:rFonts w:hint="default" w:ascii="Times New Roman" w:hAnsi="Times New Roman" w:eastAsia="宋体" w:cs="Times New Roman"/>
                <w:color w:val="auto"/>
                <w:sz w:val="24"/>
                <w:highlight w:val="none"/>
                <w:lang w:eastAsia="zh-CN"/>
              </w:rPr>
              <w:t>冷却水正常情况下循环使用不外排，为保持总水量不变，需补充挥发的新鲜水，同时为减少模具内壁结垢的情形，</w:t>
            </w:r>
            <w:r>
              <w:rPr>
                <w:rFonts w:hint="eastAsia" w:ascii="Times New Roman" w:hAnsi="Times New Roman" w:eastAsia="宋体" w:cs="Times New Roman"/>
                <w:color w:val="auto"/>
                <w:sz w:val="24"/>
                <w:highlight w:val="none"/>
                <w:lang w:eastAsia="zh-CN"/>
              </w:rPr>
              <w:t>循环</w:t>
            </w:r>
            <w:r>
              <w:rPr>
                <w:rFonts w:hint="default" w:ascii="Times New Roman" w:hAnsi="Times New Roman" w:eastAsia="宋体" w:cs="Times New Roman"/>
                <w:color w:val="auto"/>
                <w:sz w:val="24"/>
                <w:highlight w:val="none"/>
                <w:lang w:eastAsia="zh-CN"/>
              </w:rPr>
              <w:t>冷却水每</w:t>
            </w:r>
            <w:r>
              <w:rPr>
                <w:rFonts w:hint="eastAsia" w:ascii="Times New Roman" w:hAnsi="Times New Roman" w:eastAsia="宋体" w:cs="Times New Roman"/>
                <w:color w:val="auto"/>
                <w:sz w:val="24"/>
                <w:highlight w:val="none"/>
                <w:lang w:val="en-US" w:eastAsia="zh-CN"/>
              </w:rPr>
              <w:t>半年</w:t>
            </w:r>
            <w:r>
              <w:rPr>
                <w:rFonts w:hint="default" w:ascii="Times New Roman" w:hAnsi="Times New Roman" w:eastAsia="宋体" w:cs="Times New Roman"/>
                <w:color w:val="auto"/>
                <w:sz w:val="24"/>
                <w:highlight w:val="none"/>
                <w:lang w:eastAsia="zh-CN"/>
              </w:rPr>
              <w:t>更换一次新鲜水</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eastAsia="zh-CN"/>
              </w:rPr>
              <w:t>本项目冷却水消耗量按循环水量的1</w:t>
            </w:r>
            <w:r>
              <w:rPr>
                <w:rFonts w:hint="eastAsia"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lang w:eastAsia="zh-CN"/>
              </w:rPr>
              <w:t>%计算，</w:t>
            </w:r>
            <w:r>
              <w:rPr>
                <w:rFonts w:hint="eastAsia" w:ascii="Times New Roman" w:hAnsi="Times New Roman" w:eastAsia="宋体" w:cs="Times New Roman"/>
                <w:color w:val="auto"/>
                <w:sz w:val="24"/>
                <w:highlight w:val="none"/>
                <w:lang w:eastAsia="zh-CN"/>
              </w:rPr>
              <w:t>则</w:t>
            </w:r>
            <w:r>
              <w:rPr>
                <w:rFonts w:hint="default" w:ascii="Times New Roman" w:hAnsi="Times New Roman" w:eastAsia="宋体" w:cs="Times New Roman"/>
                <w:color w:val="auto"/>
                <w:sz w:val="24"/>
                <w:highlight w:val="none"/>
                <w:lang w:eastAsia="zh-CN"/>
              </w:rPr>
              <w:t>补充水量按照循环量的1</w:t>
            </w:r>
            <w:r>
              <w:rPr>
                <w:rFonts w:hint="eastAsia"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lang w:eastAsia="zh-CN"/>
              </w:rPr>
              <w:t>%估算</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则补水量约为</w:t>
            </w:r>
            <w:r>
              <w:rPr>
                <w:rFonts w:hint="eastAsia" w:ascii="Times New Roman" w:hAnsi="Times New Roman" w:eastAsia="宋体" w:cs="Times New Roman"/>
                <w:color w:val="auto"/>
                <w:sz w:val="24"/>
                <w:highlight w:val="none"/>
                <w:lang w:val="en-US" w:eastAsia="zh-CN"/>
              </w:rPr>
              <w:t>6.4</w:t>
            </w:r>
            <w:r>
              <w:rPr>
                <w:rFonts w:hint="default" w:ascii="Times New Roman" w:hAnsi="Times New Roman" w:eastAsia="宋体" w:cs="Times New Roman"/>
                <w:color w:val="auto"/>
                <w:sz w:val="24"/>
                <w:highlight w:val="none"/>
              </w:rPr>
              <w:t>t/d（</w:t>
            </w:r>
            <w:r>
              <w:rPr>
                <w:rFonts w:hint="eastAsia" w:ascii="Times New Roman" w:hAnsi="Times New Roman" w:eastAsia="宋体" w:cs="Times New Roman"/>
                <w:color w:val="auto"/>
                <w:sz w:val="24"/>
                <w:highlight w:val="none"/>
                <w:lang w:val="en-US" w:eastAsia="zh-CN"/>
              </w:rPr>
              <w:t>1920</w:t>
            </w:r>
            <w:r>
              <w:rPr>
                <w:rFonts w:hint="default" w:ascii="Times New Roman" w:hAnsi="Times New Roman" w:eastAsia="宋体" w:cs="Times New Roman"/>
                <w:color w:val="auto"/>
                <w:sz w:val="24"/>
                <w:highlight w:val="none"/>
              </w:rPr>
              <w:t>t/a）</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eastAsia="zh-CN"/>
              </w:rPr>
              <w:t>间接冷却水</w:t>
            </w:r>
            <w:r>
              <w:rPr>
                <w:rFonts w:hint="eastAsia" w:ascii="Times New Roman" w:hAnsi="Times New Roman" w:eastAsia="宋体" w:cs="Times New Roman"/>
                <w:color w:val="auto"/>
                <w:sz w:val="24"/>
                <w:highlight w:val="none"/>
                <w:lang w:val="en-US" w:eastAsia="zh-CN"/>
              </w:rPr>
              <w:t>外排量约为8</w:t>
            </w:r>
            <w:r>
              <w:rPr>
                <w:rFonts w:hint="default" w:ascii="Times New Roman" w:hAnsi="Times New Roman" w:eastAsia="宋体" w:cs="Times New Roman"/>
                <w:color w:val="auto"/>
                <w:sz w:val="24"/>
                <w:highlight w:val="none"/>
                <w:lang w:eastAsia="zh-CN"/>
              </w:rPr>
              <w:t>t</w:t>
            </w:r>
            <w:r>
              <w:rPr>
                <w:rFonts w:hint="eastAsia" w:ascii="Times New Roman" w:hAnsi="Times New Roman" w:eastAsia="宋体" w:cs="Times New Roman"/>
                <w:color w:val="auto"/>
                <w:sz w:val="24"/>
                <w:highlight w:val="none"/>
                <w:lang w:val="en-US" w:eastAsia="zh-CN"/>
              </w:rPr>
              <w:t>/次（16t/a）</w:t>
            </w:r>
            <w:r>
              <w:rPr>
                <w:rFonts w:hint="default" w:ascii="Times New Roman" w:hAnsi="Times New Roman" w:eastAsia="宋体" w:cs="Times New Roman"/>
                <w:color w:val="auto"/>
                <w:sz w:val="24"/>
                <w:highlight w:val="none"/>
                <w:lang w:eastAsia="zh-CN"/>
              </w:rPr>
              <w:t>。</w:t>
            </w:r>
          </w:p>
          <w:p w14:paraId="3A31F231">
            <w:pPr>
              <w:numPr>
                <w:ilvl w:val="0"/>
                <w:numId w:val="5"/>
              </w:numPr>
              <w:snapToGrid w:val="0"/>
              <w:spacing w:line="360" w:lineRule="auto"/>
              <w:ind w:firstLine="480" w:firstLineChars="200"/>
              <w:rPr>
                <w:rFonts w:hint="eastAsia" w:ascii="Times New Roman" w:hAnsi="Times New Roman" w:eastAsia="宋体" w:cs="Times New Roman"/>
                <w:bCs/>
                <w:color w:val="auto"/>
                <w:kern w:val="2"/>
                <w:sz w:val="24"/>
                <w:szCs w:val="24"/>
                <w:highlight w:val="none"/>
                <w:lang w:val="en-US" w:eastAsia="zh-CN" w:bidi="ar-SA"/>
              </w:rPr>
            </w:pPr>
            <w:r>
              <w:rPr>
                <w:rFonts w:hint="eastAsia" w:ascii="Times New Roman" w:hAnsi="Times New Roman" w:eastAsia="宋体" w:cs="Times New Roman"/>
                <w:bCs/>
                <w:color w:val="auto"/>
                <w:sz w:val="24"/>
                <w:szCs w:val="24"/>
                <w:lang w:val="en-US" w:eastAsia="zh-CN"/>
              </w:rPr>
              <w:t>调漆用水</w:t>
            </w:r>
          </w:p>
          <w:p w14:paraId="4BFFE131">
            <w:pPr>
              <w:numPr>
                <w:ilvl w:val="0"/>
                <w:numId w:val="0"/>
              </w:numPr>
              <w:snapToGrid w:val="0"/>
              <w:spacing w:line="360" w:lineRule="auto"/>
              <w:ind w:firstLine="480" w:firstLineChars="200"/>
              <w:rPr>
                <w:rFonts w:hint="eastAsia" w:ascii="Times New Roman" w:hAnsi="Times New Roman" w:eastAsia="宋体" w:cs="Times New Roman"/>
                <w:bCs/>
                <w:color w:val="auto"/>
                <w:kern w:val="2"/>
                <w:sz w:val="24"/>
                <w:szCs w:val="24"/>
                <w:highlight w:val="none"/>
                <w:lang w:val="en-US" w:eastAsia="zh-CN" w:bidi="ar-SA"/>
              </w:rPr>
            </w:pPr>
            <w:r>
              <w:rPr>
                <w:rFonts w:hint="eastAsia"/>
                <w:bCs/>
                <w:color w:val="auto"/>
                <w:sz w:val="24"/>
                <w:szCs w:val="24"/>
                <w:highlight w:val="none"/>
                <w:shd w:val="clear" w:color="auto" w:fill="auto"/>
                <w:lang w:val="en-US" w:eastAsia="zh-CN"/>
              </w:rPr>
              <w:t>本项目水性漆年使用量约为4.67吨，调漆时漆与水的比例为</w:t>
            </w:r>
            <w:r>
              <w:rPr>
                <w:rFonts w:hint="default" w:ascii="Times New Roman" w:hAnsi="Times New Roman" w:eastAsia="宋体" w:cs="Times New Roman"/>
                <w:bCs/>
                <w:color w:val="auto"/>
                <w:kern w:val="2"/>
                <w:sz w:val="24"/>
                <w:szCs w:val="24"/>
                <w:highlight w:val="none"/>
                <w:lang w:val="en-US" w:eastAsia="zh-CN" w:bidi="ar-SA"/>
              </w:rPr>
              <w:t>4</w:t>
            </w:r>
            <w:r>
              <w:rPr>
                <w:rFonts w:hint="eastAsia" w:cs="Times New Roman"/>
                <w:bCs/>
                <w:color w:val="auto"/>
                <w:kern w:val="2"/>
                <w:sz w:val="24"/>
                <w:szCs w:val="24"/>
                <w:highlight w:val="none"/>
                <w:lang w:val="en-US" w:eastAsia="zh-CN" w:bidi="ar-SA"/>
              </w:rPr>
              <w:t>:</w:t>
            </w:r>
            <w:r>
              <w:rPr>
                <w:rFonts w:hint="default" w:ascii="Times New Roman" w:hAnsi="Times New Roman" w:eastAsia="宋体" w:cs="Times New Roman"/>
                <w:bCs/>
                <w:color w:val="auto"/>
                <w:kern w:val="2"/>
                <w:sz w:val="24"/>
                <w:szCs w:val="24"/>
                <w:highlight w:val="none"/>
                <w:lang w:val="en-US" w:eastAsia="zh-CN" w:bidi="ar-SA"/>
              </w:rPr>
              <w:t>1</w:t>
            </w:r>
            <w:r>
              <w:rPr>
                <w:rFonts w:hint="eastAsia" w:ascii="Times New Roman" w:hAnsi="Times New Roman" w:eastAsia="宋体" w:cs="Times New Roman"/>
                <w:bCs/>
                <w:color w:val="auto"/>
                <w:kern w:val="2"/>
                <w:sz w:val="24"/>
                <w:szCs w:val="24"/>
                <w:highlight w:val="none"/>
                <w:lang w:val="en-US" w:eastAsia="zh-CN" w:bidi="ar-SA"/>
              </w:rPr>
              <w:t>，则本项目调漆使用的水量约为</w:t>
            </w:r>
            <w:r>
              <w:rPr>
                <w:rFonts w:hint="eastAsia" w:cs="Times New Roman"/>
                <w:bCs/>
                <w:color w:val="auto"/>
                <w:kern w:val="2"/>
                <w:sz w:val="24"/>
                <w:szCs w:val="24"/>
                <w:highlight w:val="none"/>
                <w:lang w:val="en-US" w:eastAsia="zh-CN" w:bidi="ar-SA"/>
              </w:rPr>
              <w:t>1.17</w:t>
            </w:r>
            <w:r>
              <w:rPr>
                <w:rFonts w:hint="eastAsia" w:ascii="Times New Roman" w:hAnsi="Times New Roman" w:eastAsia="宋体" w:cs="Times New Roman"/>
                <w:bCs/>
                <w:color w:val="auto"/>
                <w:kern w:val="2"/>
                <w:sz w:val="24"/>
                <w:szCs w:val="24"/>
                <w:highlight w:val="none"/>
                <w:lang w:val="en-US" w:eastAsia="zh-CN" w:bidi="ar-SA"/>
              </w:rPr>
              <w:t>t/a（0.00</w:t>
            </w:r>
            <w:r>
              <w:rPr>
                <w:rFonts w:hint="eastAsia" w:cs="Times New Roman"/>
                <w:bCs/>
                <w:color w:val="auto"/>
                <w:kern w:val="2"/>
                <w:sz w:val="24"/>
                <w:szCs w:val="24"/>
                <w:highlight w:val="none"/>
                <w:lang w:val="en-US" w:eastAsia="zh-CN" w:bidi="ar-SA"/>
              </w:rPr>
              <w:t>39</w:t>
            </w:r>
            <w:r>
              <w:rPr>
                <w:rFonts w:hint="eastAsia" w:ascii="Times New Roman" w:hAnsi="Times New Roman" w:eastAsia="宋体" w:cs="Times New Roman"/>
                <w:bCs/>
                <w:color w:val="auto"/>
                <w:kern w:val="2"/>
                <w:sz w:val="24"/>
                <w:szCs w:val="24"/>
                <w:highlight w:val="none"/>
                <w:lang w:val="en-US" w:eastAsia="zh-CN" w:bidi="ar-SA"/>
              </w:rPr>
              <w:t>t/d）。</w:t>
            </w:r>
          </w:p>
          <w:p w14:paraId="5502E970">
            <w:pPr>
              <w:adjustRightInd w:val="0"/>
              <w:snapToGrid w:val="0"/>
              <w:spacing w:line="360" w:lineRule="auto"/>
              <w:ind w:left="0" w:leftChars="0" w:firstLine="480" w:firstLineChars="200"/>
              <w:jc w:val="both"/>
              <w:rPr>
                <w:rFonts w:ascii="Times New Roman" w:hAnsi="Times New Roman"/>
                <w:bCs/>
                <w:color w:val="auto"/>
                <w:sz w:val="24"/>
                <w:szCs w:val="21"/>
                <w:highlight w:val="none"/>
              </w:rPr>
            </w:pPr>
            <w:r>
              <w:rPr>
                <w:rFonts w:ascii="Times New Roman" w:hAnsi="Times New Roman"/>
                <w:bCs/>
                <w:color w:val="auto"/>
                <w:sz w:val="24"/>
                <w:szCs w:val="21"/>
                <w:highlight w:val="none"/>
              </w:rPr>
              <w:t>项目水平衡图，见下图所示：</w:t>
            </w:r>
          </w:p>
          <w:p w14:paraId="2B1E45B9">
            <w:pPr>
              <w:adjustRightInd w:val="0"/>
              <w:snapToGrid w:val="0"/>
              <w:spacing w:line="360" w:lineRule="auto"/>
              <w:ind w:left="0" w:leftChars="0" w:firstLine="0" w:firstLineChars="0"/>
              <w:jc w:val="center"/>
              <w:rPr>
                <w:rFonts w:ascii="Times New Roman" w:hAnsi="Times New Roman"/>
                <w:b/>
                <w:bCs/>
                <w:color w:val="auto"/>
                <w:szCs w:val="21"/>
              </w:rPr>
            </w:pPr>
            <w:r>
              <w:rPr>
                <w:rFonts w:hint="default"/>
                <w:color w:val="auto"/>
                <w:lang w:val="en-US" w:eastAsia="zh-CN"/>
              </w:rPr>
              <w:object>
                <v:shape id="_x0000_i1026" o:spt="75" type="#_x0000_t75" style="height:133.7pt;width:394.1pt;" o:ole="t" filled="f" o:preferrelative="t" stroked="f" coordsize="21600,21600">
                  <v:path/>
                  <v:fill on="f" focussize="0,0"/>
                  <v:stroke on="f"/>
                  <v:imagedata r:id="rId24" o:title=""/>
                  <o:lock v:ext="edit" aspectratio="t"/>
                  <w10:wrap type="none"/>
                  <w10:anchorlock/>
                </v:shape>
                <o:OLEObject Type="Embed" ProgID="RFFlow4" ShapeID="_x0000_i1026" DrawAspect="Content" ObjectID="_1468075726" r:id="rId23">
                  <o:LockedField>false</o:LockedField>
                </o:OLEObject>
              </w:object>
            </w:r>
            <w:r>
              <w:rPr>
                <w:rFonts w:hint="eastAsia" w:ascii="Times New Roman" w:hAnsi="Times New Roman" w:eastAsia="宋体" w:cs="Times New Roman"/>
                <w:b/>
                <w:bCs/>
                <w:color w:val="auto"/>
                <w:sz w:val="21"/>
              </w:rPr>
              <w:t>图2-</w:t>
            </w:r>
            <w:r>
              <w:rPr>
                <w:rFonts w:hint="eastAsia" w:cs="Times New Roman"/>
                <w:b/>
                <w:bCs/>
                <w:color w:val="auto"/>
                <w:sz w:val="21"/>
                <w:lang w:val="en-US" w:eastAsia="zh-CN"/>
              </w:rPr>
              <w:t>2</w:t>
            </w:r>
            <w:r>
              <w:rPr>
                <w:rFonts w:hint="eastAsia" w:ascii="Times New Roman" w:hAnsi="Times New Roman" w:eastAsia="宋体" w:cs="Times New Roman"/>
                <w:b/>
                <w:bCs/>
                <w:color w:val="auto"/>
                <w:sz w:val="21"/>
              </w:rPr>
              <w:t xml:space="preserve"> </w:t>
            </w:r>
            <w:r>
              <w:rPr>
                <w:rFonts w:hint="eastAsia" w:cs="Times New Roman"/>
                <w:b/>
                <w:bCs/>
                <w:color w:val="auto"/>
                <w:sz w:val="21"/>
                <w:lang w:val="en-US" w:eastAsia="zh-CN"/>
              </w:rPr>
              <w:t xml:space="preserve"> </w:t>
            </w:r>
            <w:r>
              <w:rPr>
                <w:rFonts w:hint="eastAsia" w:ascii="Times New Roman" w:hAnsi="Times New Roman" w:eastAsia="宋体" w:cs="Times New Roman"/>
                <w:b/>
                <w:bCs/>
                <w:color w:val="auto"/>
                <w:sz w:val="21"/>
                <w:lang w:eastAsia="zh-CN"/>
              </w:rPr>
              <w:t>项目</w:t>
            </w:r>
            <w:r>
              <w:rPr>
                <w:rFonts w:hint="eastAsia" w:ascii="Times New Roman" w:hAnsi="Times New Roman" w:eastAsia="宋体" w:cs="Times New Roman"/>
                <w:b/>
                <w:bCs/>
                <w:color w:val="auto"/>
                <w:sz w:val="21"/>
              </w:rPr>
              <w:t>水平衡图（t/d）</w:t>
            </w:r>
          </w:p>
          <w:p w14:paraId="7FE3E2CC">
            <w:pPr>
              <w:pStyle w:val="67"/>
              <w:keepNext/>
              <w:keepLines/>
              <w:pageBreakBefore w:val="0"/>
              <w:kinsoku/>
              <w:wordWrap/>
              <w:overflowPunct/>
              <w:topLinePunct w:val="0"/>
              <w:bidi w:val="0"/>
              <w:ind w:firstLine="480"/>
              <w:textAlignment w:val="auto"/>
              <w:rPr>
                <w:rFonts w:hint="eastAsia" w:ascii="Times New Roman" w:hAnsi="Times New Roman" w:eastAsia="宋体" w:cs="宋体"/>
                <w:bCs/>
                <w:color w:val="auto"/>
                <w:highlight w:val="none"/>
                <w:lang w:val="en-US" w:eastAsia="zh-CN"/>
              </w:rPr>
            </w:pPr>
            <w:r>
              <w:rPr>
                <w:rFonts w:hint="eastAsia" w:ascii="Times New Roman" w:hAnsi="Times New Roman" w:eastAsia="宋体" w:cs="宋体"/>
                <w:bCs/>
                <w:color w:val="auto"/>
                <w:highlight w:val="none"/>
                <w:lang w:val="en-US" w:eastAsia="zh-CN"/>
              </w:rPr>
              <w:t>10、厂区总平面布置</w:t>
            </w:r>
          </w:p>
          <w:p w14:paraId="6D0D21F0">
            <w:pPr>
              <w:pStyle w:val="67"/>
              <w:keepNext/>
              <w:keepLines/>
              <w:pageBreakBefore w:val="0"/>
              <w:kinsoku/>
              <w:wordWrap/>
              <w:overflowPunct/>
              <w:topLinePunct w:val="0"/>
              <w:bidi w:val="0"/>
              <w:ind w:firstLine="480" w:firstLineChars="200"/>
              <w:textAlignment w:val="auto"/>
              <w:rPr>
                <w:rFonts w:hint="default" w:ascii="Times New Roman" w:hAnsi="Times New Roman" w:eastAsia="宋体" w:cs="宋体"/>
                <w:bCs/>
                <w:color w:val="auto"/>
                <w:highlight w:val="none"/>
                <w:lang w:val="en-US" w:eastAsia="zh-CN"/>
              </w:rPr>
            </w:pPr>
            <w:r>
              <w:rPr>
                <w:rFonts w:hint="eastAsia" w:ascii="Times New Roman" w:hAnsi="Times New Roman" w:eastAsia="宋体" w:cs="宋体"/>
                <w:bCs/>
                <w:color w:val="auto"/>
                <w:highlight w:val="none"/>
                <w:lang w:val="en-US" w:eastAsia="zh-CN"/>
              </w:rPr>
              <w:t>项目建设地点位于</w:t>
            </w:r>
            <w:r>
              <w:rPr>
                <w:rFonts w:hint="eastAsia" w:cs="Times New Roman"/>
                <w:b w:val="0"/>
                <w:bCs/>
                <w:color w:val="auto"/>
                <w:highlight w:val="none"/>
                <w:lang w:val="en-US" w:eastAsia="zh-CN"/>
              </w:rPr>
              <w:t>安徽省蚌埠市龙子湖区李楼乡胜利东路199号（厂区东片）</w:t>
            </w:r>
            <w:r>
              <w:rPr>
                <w:rFonts w:hint="eastAsia" w:ascii="Times New Roman" w:hAnsi="Times New Roman" w:eastAsia="宋体" w:cs="宋体"/>
                <w:bCs/>
                <w:color w:val="auto"/>
                <w:highlight w:val="none"/>
                <w:lang w:val="en-US" w:eastAsia="zh-CN"/>
              </w:rPr>
              <w:t>，</w:t>
            </w:r>
            <w:r>
              <w:rPr>
                <w:rFonts w:hint="default" w:ascii="Times New Roman" w:hAnsi="Times New Roman" w:eastAsia="宋体" w:cs="Times New Roman"/>
                <w:b w:val="0"/>
                <w:bCs/>
                <w:color w:val="auto"/>
                <w:sz w:val="24"/>
                <w:highlight w:val="none"/>
                <w:lang w:val="en-US" w:eastAsia="zh-CN"/>
              </w:rPr>
              <w:t>建设一条年产300万只保温容器外壳生产线。</w:t>
            </w:r>
            <w:r>
              <w:rPr>
                <w:rFonts w:hint="eastAsia" w:ascii="Times New Roman" w:hAnsi="Times New Roman" w:eastAsia="宋体" w:cs="宋体"/>
                <w:bCs/>
                <w:color w:val="auto"/>
                <w:highlight w:val="none"/>
                <w:lang w:val="en-US" w:eastAsia="zh-CN"/>
              </w:rPr>
              <w:t>本项目平面布局满足生产需求及节省用地，平面布置合理，平面布置详见附图。</w:t>
            </w:r>
          </w:p>
        </w:tc>
      </w:tr>
      <w:tr w14:paraId="27ED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shd w:val="clear" w:color="auto" w:fill="auto"/>
            <w:vAlign w:val="center"/>
          </w:tcPr>
          <w:p w14:paraId="77C8B896">
            <w:pPr>
              <w:adjustRightInd w:val="0"/>
              <w:snapToGrid w:val="0"/>
              <w:spacing w:line="240" w:lineRule="auto"/>
              <w:ind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color w:val="auto"/>
                <w:highlight w:val="none"/>
              </w:rPr>
              <w:t>工艺流程和产排污环节</w:t>
            </w:r>
          </w:p>
        </w:tc>
        <w:tc>
          <w:tcPr>
            <w:tcW w:w="8048" w:type="dxa"/>
            <w:shd w:val="clear" w:color="auto" w:fill="auto"/>
            <w:vAlign w:val="top"/>
          </w:tcPr>
          <w:p w14:paraId="67D9D2B3">
            <w:pPr>
              <w:adjustRightInd w:val="0"/>
              <w:snapToGrid w:val="0"/>
              <w:spacing w:line="360" w:lineRule="auto"/>
              <w:ind w:firstLine="0" w:firstLineChars="0"/>
              <w:rPr>
                <w:rFonts w:ascii="Times New Roman" w:hAnsi="Times New Roman" w:eastAsia="宋体" w:cs="Times New Roman"/>
                <w:b/>
                <w:bCs/>
                <w:color w:val="auto"/>
                <w:sz w:val="24"/>
              </w:rPr>
            </w:pPr>
            <w:r>
              <w:rPr>
                <w:rFonts w:ascii="Times New Roman" w:hAnsi="Times New Roman" w:eastAsia="宋体" w:cs="Times New Roman"/>
                <w:b/>
                <w:bCs/>
                <w:color w:val="auto"/>
                <w:sz w:val="24"/>
              </w:rPr>
              <w:t>一、施工期工艺流程及产污环节</w:t>
            </w:r>
          </w:p>
          <w:p w14:paraId="69DEAC2F">
            <w:pPr>
              <w:adjustRightInd w:val="0"/>
              <w:snapToGrid w:val="0"/>
              <w:spacing w:line="360" w:lineRule="auto"/>
              <w:ind w:firstLine="480" w:firstLineChars="200"/>
              <w:rPr>
                <w:rFonts w:ascii="Times New Roman" w:hAnsi="Times New Roman" w:eastAsia="宋体" w:cs="Times New Roman"/>
                <w:bCs/>
                <w:color w:val="auto"/>
                <w:sz w:val="24"/>
              </w:rPr>
            </w:pPr>
            <w:r>
              <w:rPr>
                <w:rFonts w:ascii="Times New Roman" w:hAnsi="Times New Roman" w:eastAsia="宋体" w:cs="Times New Roman"/>
                <w:bCs/>
                <w:color w:val="auto"/>
                <w:sz w:val="24"/>
              </w:rPr>
              <w:t>本项目仅对</w:t>
            </w:r>
            <w:r>
              <w:rPr>
                <w:rFonts w:hint="eastAsia" w:ascii="Times New Roman" w:hAnsi="Times New Roman" w:eastAsia="宋体" w:cs="Times New Roman"/>
                <w:bCs/>
                <w:color w:val="auto"/>
                <w:sz w:val="24"/>
              </w:rPr>
              <w:t>室内</w:t>
            </w:r>
            <w:r>
              <w:rPr>
                <w:rFonts w:ascii="Times New Roman" w:hAnsi="Times New Roman" w:eastAsia="宋体" w:cs="Times New Roman"/>
                <w:bCs/>
                <w:color w:val="auto"/>
                <w:sz w:val="24"/>
              </w:rPr>
              <w:t>进行内部装饰以及设备安装，对环境影响较小。施工期产生的污染物主要为施工垃圾、施工人员生活污水及设备安装、调试产生的噪声等。</w:t>
            </w:r>
          </w:p>
          <w:p w14:paraId="186BE273">
            <w:pPr>
              <w:adjustRightInd w:val="0"/>
              <w:snapToGrid w:val="0"/>
              <w:spacing w:line="360" w:lineRule="auto"/>
              <w:ind w:firstLine="0" w:firstLineChars="0"/>
              <w:rPr>
                <w:rFonts w:ascii="Times New Roman" w:hAnsi="Times New Roman" w:eastAsia="宋体" w:cs="Times New Roman"/>
                <w:b/>
                <w:bCs/>
                <w:color w:val="auto"/>
                <w:sz w:val="24"/>
              </w:rPr>
            </w:pPr>
            <w:r>
              <w:rPr>
                <w:rFonts w:ascii="Times New Roman" w:hAnsi="Times New Roman" w:eastAsia="宋体" w:cs="Times New Roman"/>
                <w:b/>
                <w:bCs/>
                <w:color w:val="auto"/>
                <w:sz w:val="24"/>
              </w:rPr>
              <w:t>二、运营期工艺流程及产污环节</w:t>
            </w:r>
          </w:p>
          <w:p w14:paraId="57710BD7">
            <w:pPr>
              <w:adjustRightInd w:val="0"/>
              <w:snapToGrid w:val="0"/>
              <w:spacing w:line="360" w:lineRule="auto"/>
              <w:ind w:firstLine="0" w:firstLineChars="0"/>
              <w:rPr>
                <w:rFonts w:ascii="Times New Roman" w:hAnsi="Times New Roman" w:eastAsia="宋体" w:cs="Times New Roman"/>
                <w:b/>
                <w:bCs/>
                <w:color w:val="auto"/>
                <w:sz w:val="24"/>
              </w:rPr>
            </w:pPr>
            <w:r>
              <w:rPr>
                <w:rFonts w:ascii="Times New Roman" w:hAnsi="Times New Roman" w:eastAsia="宋体" w:cs="Times New Roman"/>
                <w:b/>
                <w:bCs/>
                <w:color w:val="auto"/>
                <w:sz w:val="24"/>
              </w:rPr>
              <w:t>1、工艺流程及产污环节</w:t>
            </w:r>
          </w:p>
          <w:p w14:paraId="540233AD">
            <w:pPr>
              <w:adjustRightInd w:val="0"/>
              <w:snapToGrid w:val="0"/>
              <w:spacing w:line="360" w:lineRule="auto"/>
              <w:ind w:firstLine="480" w:firstLineChars="200"/>
              <w:rPr>
                <w:rFonts w:ascii="Times New Roman" w:hAnsi="Times New Roman" w:eastAsia="宋体" w:cs="Times New Roman"/>
                <w:bCs/>
                <w:color w:val="auto"/>
                <w:sz w:val="24"/>
              </w:rPr>
            </w:pPr>
            <w:r>
              <w:rPr>
                <w:rFonts w:ascii="Times New Roman" w:hAnsi="Times New Roman" w:eastAsia="宋体" w:cs="Times New Roman"/>
                <w:bCs/>
                <w:color w:val="auto"/>
                <w:sz w:val="24"/>
              </w:rPr>
              <w:t>营运期具体生产工艺流程及产污节点如下：</w:t>
            </w:r>
          </w:p>
          <w:p w14:paraId="3094B1FD">
            <w:pPr>
              <w:jc w:val="center"/>
              <w:rPr>
                <w:rFonts w:hint="default"/>
                <w:color w:val="auto"/>
              </w:rPr>
            </w:pPr>
            <w:r>
              <w:rPr>
                <w:rFonts w:hint="default"/>
                <w:color w:val="auto"/>
              </w:rPr>
              <w:object>
                <v:shape id="_x0000_i1027" o:spt="75" type="#_x0000_t75" style="height:357.9pt;width:252.75pt;" o:ole="t" filled="f" o:preferrelative="t" stroked="f" coordsize="21600,21600">
                  <v:path/>
                  <v:fill on="f" focussize="0,0"/>
                  <v:stroke on="f"/>
                  <v:imagedata r:id="rId26" o:title=""/>
                  <o:lock v:ext="edit" aspectratio="t"/>
                  <w10:wrap type="none"/>
                  <w10:anchorlock/>
                </v:shape>
                <o:OLEObject Type="Embed" ProgID="RFFlow4" ShapeID="_x0000_i1027" DrawAspect="Content" ObjectID="_1468075727" r:id="rId25">
                  <o:LockedField>false</o:LockedField>
                </o:OLEObject>
              </w:object>
            </w:r>
          </w:p>
          <w:p w14:paraId="38E97A7C">
            <w:pPr>
              <w:autoSpaceDE w:val="0"/>
              <w:autoSpaceDN w:val="0"/>
              <w:spacing w:line="240" w:lineRule="auto"/>
              <w:ind w:firstLine="0" w:firstLineChars="0"/>
              <w:contextualSpacing/>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图2-</w:t>
            </w:r>
            <w:r>
              <w:rPr>
                <w:rFonts w:hint="eastAsia" w:cs="Times New Roman"/>
                <w:b/>
                <w:bCs/>
                <w:color w:val="auto"/>
                <w:sz w:val="21"/>
                <w:lang w:val="en-US" w:eastAsia="zh-CN"/>
              </w:rPr>
              <w:t>3</w:t>
            </w:r>
            <w:r>
              <w:rPr>
                <w:rFonts w:hint="eastAsia" w:ascii="Times New Roman" w:hAnsi="Times New Roman" w:eastAsia="宋体" w:cs="Times New Roman"/>
                <w:b/>
                <w:bCs/>
                <w:color w:val="auto"/>
                <w:sz w:val="21"/>
                <w:lang w:val="en-US" w:eastAsia="zh-CN"/>
              </w:rPr>
              <w:t xml:space="preserve">  </w:t>
            </w:r>
            <w:r>
              <w:rPr>
                <w:rFonts w:hint="default" w:ascii="Times New Roman" w:hAnsi="Times New Roman" w:eastAsia="宋体" w:cs="Times New Roman"/>
                <w:b/>
                <w:bCs/>
                <w:color w:val="auto"/>
                <w:sz w:val="21"/>
                <w:lang w:val="en-US" w:eastAsia="zh-CN"/>
              </w:rPr>
              <w:t>工艺流程及产排污节点图</w:t>
            </w:r>
          </w:p>
          <w:p w14:paraId="69AFB235">
            <w:pPr>
              <w:spacing w:line="360" w:lineRule="auto"/>
              <w:ind w:left="0" w:leftChars="0"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生产工艺说明：</w:t>
            </w:r>
          </w:p>
          <w:p w14:paraId="5CA31E22">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搅拌：根据客户对产品材质的不同需求，部分产品需人工将聚丙烯颗粒和色母粒拆包后按一定比例投入</w:t>
            </w:r>
            <w:r>
              <w:rPr>
                <w:rFonts w:hint="eastAsia" w:cs="Times New Roman"/>
                <w:bCs/>
                <w:color w:val="auto"/>
                <w:sz w:val="24"/>
                <w:lang w:val="en-US" w:eastAsia="zh-CN"/>
              </w:rPr>
              <w:t>混料</w:t>
            </w:r>
            <w:r>
              <w:rPr>
                <w:rFonts w:hint="default" w:ascii="Times New Roman" w:hAnsi="Times New Roman" w:eastAsia="宋体" w:cs="Times New Roman"/>
                <w:bCs/>
                <w:color w:val="auto"/>
                <w:sz w:val="24"/>
                <w:lang w:val="en-US" w:eastAsia="zh-CN"/>
              </w:rPr>
              <w:t>机进行混合，聚丙烯颗粒和色母粒的比例为1:0.3，部分产品需人工将聚乙烯颗粒和色母粒拆包后按一定比例投入搅拌机进行混合，聚乙烯颗粒和色母粒的比例为1:0.3。由于聚丙烯颗粒和色母粒颗粒</w:t>
            </w:r>
            <w:r>
              <w:rPr>
                <w:rFonts w:hint="default" w:cs="Times New Roman"/>
                <w:bCs/>
                <w:color w:val="auto"/>
                <w:sz w:val="24"/>
                <w:lang w:val="en-US" w:eastAsia="zh-CN"/>
              </w:rPr>
              <w:t>较大（粒径约为</w:t>
            </w:r>
            <w:r>
              <w:rPr>
                <w:rFonts w:hint="eastAsia" w:cs="Times New Roman"/>
                <w:bCs/>
                <w:color w:val="auto"/>
                <w:sz w:val="24"/>
                <w:lang w:val="en-US" w:eastAsia="zh-CN"/>
              </w:rPr>
              <w:t>2-3</w:t>
            </w:r>
            <w:r>
              <w:rPr>
                <w:rFonts w:hint="default" w:cs="Times New Roman"/>
                <w:bCs/>
                <w:color w:val="auto"/>
                <w:sz w:val="24"/>
                <w:lang w:val="en-US" w:eastAsia="zh-CN"/>
              </w:rPr>
              <w:t>mm），</w:t>
            </w:r>
            <w:r>
              <w:rPr>
                <w:rFonts w:hint="default" w:ascii="Times New Roman" w:hAnsi="Times New Roman" w:eastAsia="宋体" w:cs="Times New Roman"/>
                <w:bCs/>
                <w:color w:val="auto"/>
                <w:sz w:val="24"/>
                <w:lang w:val="en-US" w:eastAsia="zh-CN"/>
              </w:rPr>
              <w:t>因此</w:t>
            </w:r>
            <w:r>
              <w:rPr>
                <w:rFonts w:hint="eastAsia" w:cs="Times New Roman"/>
                <w:bCs/>
                <w:color w:val="auto"/>
                <w:sz w:val="24"/>
                <w:lang w:val="en-US" w:eastAsia="zh-CN"/>
              </w:rPr>
              <w:t>混料</w:t>
            </w:r>
            <w:r>
              <w:rPr>
                <w:rFonts w:hint="default" w:ascii="Times New Roman" w:hAnsi="Times New Roman" w:eastAsia="宋体" w:cs="Times New Roman"/>
                <w:bCs/>
                <w:color w:val="auto"/>
                <w:sz w:val="24"/>
                <w:lang w:val="en-US" w:eastAsia="zh-CN"/>
              </w:rPr>
              <w:t>搅拌过程无粉尘产生，设备运行产生噪声；</w:t>
            </w:r>
          </w:p>
          <w:p w14:paraId="7B6B4223">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注塑成型：搅拌后的原料进入注塑机中加热熔融，通过浇筑系统的螺杆将熔料输送入模具中固化成型，模具为外购成品模具。温控箱设置加热温度至180~210℃左右，加热方式为电加热，然后在设备内熔融状态的塑料完全进入模具的封闭的模腔，充满模腔后暂停工作。注塑过程中产生有机废气</w:t>
            </w:r>
            <w:r>
              <w:rPr>
                <w:rFonts w:hint="eastAsia" w:ascii="Times New Roman" w:hAnsi="Times New Roman"/>
                <w:color w:val="auto"/>
                <w:sz w:val="24"/>
                <w:lang w:eastAsia="zh-CN"/>
              </w:rPr>
              <w:t>及少量臭气浓度</w:t>
            </w:r>
            <w:r>
              <w:rPr>
                <w:rFonts w:hint="default" w:ascii="Times New Roman" w:hAnsi="Times New Roman" w:eastAsia="宋体" w:cs="Times New Roman"/>
                <w:bCs/>
                <w:color w:val="auto"/>
                <w:sz w:val="24"/>
                <w:lang w:val="en-US" w:eastAsia="zh-CN"/>
              </w:rPr>
              <w:t>，设备运行产生噪声；</w:t>
            </w:r>
          </w:p>
          <w:p w14:paraId="0F391834">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冷却：熔料注入模具后采用循环冷却水对其进行间接冷却，使模具温度降至70~120℃，塑料定型成固定形状；</w:t>
            </w:r>
          </w:p>
          <w:p w14:paraId="5E7E38D1">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脱模：带模具冷却至常温后，注塑机打开模具，取出产品。该工序无污染物产生。</w:t>
            </w:r>
          </w:p>
          <w:p w14:paraId="28CBAB21">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成品检验：人工检验注塑件的尺寸、外观等是否符合要求，经检验合格的产品进入下一道工序。</w:t>
            </w:r>
          </w:p>
          <w:p w14:paraId="3000C3FF">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破碎：对成品检验过程中的不合格品进行破碎，破碎后的物料进行回收，与原料进行搅拌注塑成型，此过程产生破碎废气和噪声。</w:t>
            </w:r>
          </w:p>
          <w:p w14:paraId="1678AB71">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喷漆：</w:t>
            </w:r>
            <w:r>
              <w:rPr>
                <w:rFonts w:hint="eastAsia" w:ascii="Times New Roman" w:hAnsi="Times New Roman" w:eastAsia="宋体" w:cs="Times New Roman"/>
                <w:bCs/>
                <w:color w:val="auto"/>
                <w:sz w:val="24"/>
                <w:lang w:val="en-US" w:eastAsia="zh-CN"/>
              </w:rPr>
              <w:t>根据市场需求，本项目约10%的产品需要进行喷漆</w:t>
            </w:r>
            <w:r>
              <w:rPr>
                <w:rFonts w:hint="eastAsia" w:cs="Times New Roman"/>
                <w:bCs/>
                <w:color w:val="auto"/>
                <w:sz w:val="24"/>
                <w:lang w:val="en-US" w:eastAsia="zh-CN"/>
              </w:rPr>
              <w:t>，喷漆房尺寸为4*5*3m</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bCs/>
                <w:color w:val="auto"/>
                <w:sz w:val="24"/>
                <w:lang w:val="en-US" w:eastAsia="zh-CN"/>
              </w:rPr>
              <w:t>本项目将漆、水按4:1的比例进行调漆，调好漆后在喷漆房中</w:t>
            </w:r>
            <w:r>
              <w:rPr>
                <w:rFonts w:hint="eastAsia" w:cs="Times New Roman"/>
                <w:bCs/>
                <w:color w:val="auto"/>
                <w:sz w:val="24"/>
                <w:lang w:val="en-US" w:eastAsia="zh-CN"/>
              </w:rPr>
              <w:t>手动</w:t>
            </w:r>
            <w:r>
              <w:rPr>
                <w:rFonts w:hint="default" w:ascii="Times New Roman" w:hAnsi="Times New Roman" w:eastAsia="宋体" w:cs="Times New Roman"/>
                <w:bCs/>
                <w:color w:val="auto"/>
                <w:sz w:val="24"/>
                <w:lang w:val="en-US" w:eastAsia="zh-CN"/>
              </w:rPr>
              <w:t>进行干式喷漆，本次评价上漆率以</w:t>
            </w:r>
            <w:r>
              <w:rPr>
                <w:rFonts w:hint="eastAsia" w:ascii="Times New Roman" w:hAnsi="Times New Roman" w:eastAsia="宋体" w:cs="Times New Roman"/>
                <w:bCs/>
                <w:color w:val="auto"/>
                <w:sz w:val="24"/>
                <w:lang w:val="en-US" w:eastAsia="zh-CN"/>
              </w:rPr>
              <w:t>7</w:t>
            </w:r>
            <w:r>
              <w:rPr>
                <w:rFonts w:hint="default" w:ascii="Times New Roman" w:hAnsi="Times New Roman" w:eastAsia="宋体" w:cs="Times New Roman"/>
                <w:bCs/>
                <w:color w:val="auto"/>
                <w:sz w:val="24"/>
                <w:lang w:val="en-US" w:eastAsia="zh-CN"/>
              </w:rPr>
              <w:t>0%计，随后在</w:t>
            </w:r>
            <w:r>
              <w:rPr>
                <w:rFonts w:hint="eastAsia" w:ascii="Times New Roman" w:hAnsi="Times New Roman" w:eastAsia="宋体" w:cs="Times New Roman"/>
                <w:bCs/>
                <w:color w:val="auto"/>
                <w:sz w:val="24"/>
                <w:lang w:val="en-US" w:eastAsia="zh-CN"/>
              </w:rPr>
              <w:t>晾干</w:t>
            </w:r>
            <w:r>
              <w:rPr>
                <w:rFonts w:hint="default" w:ascii="Times New Roman" w:hAnsi="Times New Roman" w:eastAsia="宋体" w:cs="Times New Roman"/>
                <w:bCs/>
                <w:color w:val="auto"/>
                <w:sz w:val="24"/>
                <w:lang w:val="en-US" w:eastAsia="zh-CN"/>
              </w:rPr>
              <w:t>房进行晾干</w:t>
            </w:r>
            <w:r>
              <w:rPr>
                <w:rFonts w:hint="eastAsia" w:cs="Times New Roman"/>
                <w:bCs/>
                <w:color w:val="auto"/>
                <w:sz w:val="24"/>
                <w:lang w:val="en-US" w:eastAsia="zh-CN"/>
              </w:rPr>
              <w:t>，晾干房尺寸为12*5*3m</w:t>
            </w:r>
            <w:r>
              <w:rPr>
                <w:rFonts w:hint="default" w:ascii="Times New Roman" w:hAnsi="Times New Roman" w:eastAsia="宋体" w:cs="Times New Roman"/>
                <w:bCs/>
                <w:color w:val="auto"/>
                <w:sz w:val="24"/>
                <w:lang w:val="en-US" w:eastAsia="zh-CN"/>
              </w:rPr>
              <w:t>。</w:t>
            </w:r>
            <w:r>
              <w:rPr>
                <w:rFonts w:hint="eastAsia" w:ascii="Times New Roman" w:hAnsi="Times New Roman" w:eastAsia="宋体" w:cs="Times New Roman"/>
                <w:bCs/>
                <w:color w:val="auto"/>
                <w:sz w:val="24"/>
                <w:lang w:val="en-US" w:eastAsia="zh-CN"/>
              </w:rPr>
              <w:t>夏季采用自然晾干，冬季</w:t>
            </w:r>
            <w:r>
              <w:rPr>
                <w:rFonts w:hint="default" w:ascii="Times New Roman" w:hAnsi="Times New Roman" w:eastAsia="宋体" w:cs="Times New Roman"/>
                <w:bCs/>
                <w:color w:val="auto"/>
                <w:sz w:val="24"/>
                <w:lang w:val="en-US" w:eastAsia="zh-CN"/>
              </w:rPr>
              <w:t>采用电辅热</w:t>
            </w:r>
            <w:r>
              <w:rPr>
                <w:rFonts w:hint="eastAsia" w:ascii="Times New Roman" w:hAnsi="Times New Roman" w:eastAsia="宋体" w:cs="Times New Roman"/>
                <w:bCs/>
                <w:color w:val="auto"/>
                <w:sz w:val="24"/>
                <w:lang w:val="en-US" w:eastAsia="zh-CN"/>
              </w:rPr>
              <w:t>烘干</w:t>
            </w:r>
            <w:r>
              <w:rPr>
                <w:rFonts w:hint="default" w:ascii="Times New Roman" w:hAnsi="Times New Roman" w:eastAsia="宋体" w:cs="Times New Roman"/>
                <w:bCs/>
                <w:color w:val="auto"/>
                <w:sz w:val="24"/>
                <w:lang w:val="en-US" w:eastAsia="zh-CN"/>
              </w:rPr>
              <w:t>，晾干期间废气保持负压收集。上述过程会产生调漆、喷漆、晾干废气G9：非甲烷总烃、颗粒物。清洗喷枪的废水回用于调漆。</w:t>
            </w:r>
          </w:p>
          <w:p w14:paraId="136EAEAD">
            <w:pPr>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包装：对成品进行包装后外售。</w:t>
            </w:r>
          </w:p>
          <w:p w14:paraId="68853687">
            <w:pPr>
              <w:ind w:firstLine="48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本项目产污情况汇总于</w:t>
            </w:r>
            <w:r>
              <w:rPr>
                <w:rFonts w:hint="eastAsia" w:cs="Times New Roman"/>
                <w:color w:val="auto"/>
                <w:highlight w:val="none"/>
                <w:lang w:eastAsia="zh-CN"/>
              </w:rPr>
              <w:t>下表</w:t>
            </w:r>
            <w:r>
              <w:rPr>
                <w:rFonts w:hint="default" w:ascii="Times New Roman" w:hAnsi="Times New Roman" w:cs="Times New Roman"/>
                <w:color w:val="auto"/>
                <w:highlight w:val="none"/>
                <w:lang w:eastAsia="zh-CN"/>
              </w:rPr>
              <w:t>。</w:t>
            </w:r>
          </w:p>
          <w:p w14:paraId="50BB2C08">
            <w:pPr>
              <w:spacing w:line="240" w:lineRule="auto"/>
              <w:ind w:firstLine="0" w:firstLineChars="0"/>
              <w:contextualSpacing/>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表2-</w:t>
            </w:r>
            <w:r>
              <w:rPr>
                <w:rFonts w:hint="eastAsia" w:cs="Times New Roman"/>
                <w:b/>
                <w:bCs/>
                <w:color w:val="auto"/>
                <w:sz w:val="21"/>
                <w:szCs w:val="21"/>
                <w:lang w:val="en-US" w:eastAsia="zh-CN"/>
              </w:rPr>
              <w:t>10</w:t>
            </w:r>
            <w:r>
              <w:rPr>
                <w:rFonts w:hint="eastAsia"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lang w:val="en-US" w:eastAsia="zh-CN"/>
              </w:rPr>
              <w:t>项目主要污染工序及污染因子汇总表</w:t>
            </w:r>
          </w:p>
          <w:tbl>
            <w:tblPr>
              <w:tblStyle w:val="2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279"/>
              <w:gridCol w:w="2564"/>
              <w:gridCol w:w="1116"/>
              <w:gridCol w:w="2065"/>
            </w:tblGrid>
            <w:tr w14:paraId="555F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Align w:val="center"/>
                </w:tcPr>
                <w:p w14:paraId="220DBD9C">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污染类别</w:t>
                  </w:r>
                </w:p>
              </w:tc>
              <w:tc>
                <w:tcPr>
                  <w:tcW w:w="818" w:type="pct"/>
                  <w:vAlign w:val="center"/>
                </w:tcPr>
                <w:p w14:paraId="684571BF">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产排污环节</w:t>
                  </w:r>
                </w:p>
              </w:tc>
              <w:tc>
                <w:tcPr>
                  <w:tcW w:w="1640" w:type="pct"/>
                  <w:vAlign w:val="center"/>
                </w:tcPr>
                <w:p w14:paraId="4D9DDA35">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2035" w:type="pct"/>
                  <w:gridSpan w:val="2"/>
                  <w:vAlign w:val="center"/>
                </w:tcPr>
                <w:p w14:paraId="6E06F3A8">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治理/处理处置措施</w:t>
                  </w:r>
                </w:p>
              </w:tc>
            </w:tr>
            <w:tr w14:paraId="1C1D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505" w:type="pct"/>
                  <w:vMerge w:val="restart"/>
                  <w:vAlign w:val="center"/>
                </w:tcPr>
                <w:p w14:paraId="57422C4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废气</w:t>
                  </w:r>
                </w:p>
              </w:tc>
              <w:tc>
                <w:tcPr>
                  <w:tcW w:w="818" w:type="pct"/>
                  <w:shd w:val="clear" w:color="auto" w:fill="auto"/>
                  <w:vAlign w:val="center"/>
                </w:tcPr>
                <w:p w14:paraId="671F18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注塑</w:t>
                  </w:r>
                </w:p>
              </w:tc>
              <w:tc>
                <w:tcPr>
                  <w:tcW w:w="1640" w:type="pct"/>
                  <w:shd w:val="clear" w:color="auto" w:fill="auto"/>
                  <w:vAlign w:val="center"/>
                </w:tcPr>
                <w:p w14:paraId="051B194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非甲烷总烃、臭气浓度</w:t>
                  </w:r>
                </w:p>
              </w:tc>
              <w:tc>
                <w:tcPr>
                  <w:tcW w:w="714" w:type="pct"/>
                  <w:shd w:val="clear" w:color="auto" w:fill="auto"/>
                  <w:vAlign w:val="center"/>
                </w:tcPr>
                <w:p w14:paraId="0E35D4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集气罩</w:t>
                  </w:r>
                </w:p>
              </w:tc>
              <w:tc>
                <w:tcPr>
                  <w:tcW w:w="1321" w:type="pct"/>
                  <w:vMerge w:val="restart"/>
                  <w:shd w:val="clear" w:color="auto" w:fill="auto"/>
                  <w:vAlign w:val="center"/>
                </w:tcPr>
                <w:p w14:paraId="354C8B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二级活性炭+15m高排气筒</w:t>
                  </w:r>
                  <w:r>
                    <w:rPr>
                      <w:rFonts w:hint="eastAsia"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DA00</w:t>
                  </w:r>
                  <w:r>
                    <w:rPr>
                      <w:rFonts w:hint="eastAsia" w:ascii="Times New Roman" w:hAnsi="Times New Roman" w:cs="Times New Roman"/>
                      <w:i w:val="0"/>
                      <w:iCs w:val="0"/>
                      <w:color w:val="auto"/>
                      <w:kern w:val="0"/>
                      <w:sz w:val="21"/>
                      <w:szCs w:val="21"/>
                      <w:u w:val="none"/>
                      <w:lang w:val="en-US" w:eastAsia="zh-CN" w:bidi="ar"/>
                    </w:rPr>
                    <w:t>1</w:t>
                  </w:r>
                  <w:r>
                    <w:rPr>
                      <w:rFonts w:hint="eastAsia" w:cs="Times New Roman"/>
                      <w:i w:val="0"/>
                      <w:iCs w:val="0"/>
                      <w:color w:val="auto"/>
                      <w:kern w:val="0"/>
                      <w:sz w:val="21"/>
                      <w:szCs w:val="21"/>
                      <w:u w:val="none"/>
                      <w:lang w:val="en-US" w:eastAsia="zh-CN" w:bidi="ar"/>
                    </w:rPr>
                    <w:t>）</w:t>
                  </w:r>
                </w:p>
              </w:tc>
            </w:tr>
            <w:tr w14:paraId="6EEA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325EF4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21A5C6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喷漆</w:t>
                  </w:r>
                  <w:r>
                    <w:rPr>
                      <w:rFonts w:hint="eastAsia" w:cs="Times New Roman"/>
                      <w:i w:val="0"/>
                      <w:iCs w:val="0"/>
                      <w:color w:val="auto"/>
                      <w:kern w:val="0"/>
                      <w:sz w:val="21"/>
                      <w:szCs w:val="21"/>
                      <w:u w:val="none"/>
                      <w:lang w:val="en-US" w:eastAsia="zh-CN" w:bidi="ar"/>
                    </w:rPr>
                    <w:t>晾干</w:t>
                  </w:r>
                </w:p>
              </w:tc>
              <w:tc>
                <w:tcPr>
                  <w:tcW w:w="1640" w:type="pct"/>
                  <w:shd w:val="clear" w:color="auto" w:fill="auto"/>
                  <w:vAlign w:val="center"/>
                </w:tcPr>
                <w:p w14:paraId="24C313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颗粒物、非甲烷总烃</w:t>
                  </w:r>
                </w:p>
              </w:tc>
              <w:tc>
                <w:tcPr>
                  <w:tcW w:w="714" w:type="pct"/>
                  <w:shd w:val="clear" w:color="auto" w:fill="auto"/>
                  <w:vAlign w:val="center"/>
                </w:tcPr>
                <w:p w14:paraId="321063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负压收集</w:t>
                  </w:r>
                  <w:r>
                    <w:rPr>
                      <w:rFonts w:hint="eastAsia" w:cs="Times New Roman"/>
                      <w:i w:val="0"/>
                      <w:iCs w:val="0"/>
                      <w:color w:val="auto"/>
                      <w:kern w:val="0"/>
                      <w:sz w:val="21"/>
                      <w:szCs w:val="21"/>
                      <w:u w:val="none"/>
                      <w:lang w:val="en-US" w:eastAsia="zh-CN" w:bidi="ar"/>
                    </w:rPr>
                    <w:t>+</w:t>
                  </w:r>
                  <w:r>
                    <w:rPr>
                      <w:rFonts w:hint="eastAsia" w:ascii="Times New Roman" w:hAnsi="Times New Roman" w:cs="Times New Roman"/>
                      <w:i w:val="0"/>
                      <w:iCs w:val="0"/>
                      <w:color w:val="auto"/>
                      <w:kern w:val="0"/>
                      <w:sz w:val="21"/>
                      <w:szCs w:val="21"/>
                      <w:u w:val="none"/>
                      <w:lang w:val="en-US" w:eastAsia="zh-CN" w:bidi="ar"/>
                    </w:rPr>
                    <w:t>过滤棉</w:t>
                  </w:r>
                </w:p>
              </w:tc>
              <w:tc>
                <w:tcPr>
                  <w:tcW w:w="1321" w:type="pct"/>
                  <w:vMerge w:val="continue"/>
                  <w:shd w:val="clear" w:color="auto" w:fill="auto"/>
                  <w:vAlign w:val="center"/>
                </w:tcPr>
                <w:p w14:paraId="4EB4F7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5912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2BD65A5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5BE4ED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破碎</w:t>
                  </w:r>
                </w:p>
              </w:tc>
              <w:tc>
                <w:tcPr>
                  <w:tcW w:w="1640" w:type="pct"/>
                  <w:shd w:val="clear" w:color="auto" w:fill="auto"/>
                  <w:vAlign w:val="center"/>
                </w:tcPr>
                <w:p w14:paraId="57BBA5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2035" w:type="pct"/>
                  <w:gridSpan w:val="2"/>
                  <w:shd w:val="clear" w:color="auto" w:fill="auto"/>
                  <w:vAlign w:val="center"/>
                </w:tcPr>
                <w:p w14:paraId="112409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集气罩+布袋除尘器+</w:t>
                  </w:r>
                  <w:r>
                    <w:rPr>
                      <w:rFonts w:hint="default" w:ascii="Times New Roman" w:hAnsi="Times New Roman" w:cs="Times New Roman"/>
                      <w:i w:val="0"/>
                      <w:iCs w:val="0"/>
                      <w:color w:val="auto"/>
                      <w:kern w:val="0"/>
                      <w:sz w:val="21"/>
                      <w:szCs w:val="21"/>
                      <w:u w:val="none"/>
                      <w:lang w:val="en-US" w:eastAsia="zh-CN" w:bidi="ar"/>
                    </w:rPr>
                    <w:t>15m高排气筒</w:t>
                  </w:r>
                  <w:r>
                    <w:rPr>
                      <w:rFonts w:hint="eastAsia" w:ascii="Times New Roman" w:hAnsi="Times New Roman"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DA00</w:t>
                  </w:r>
                  <w:r>
                    <w:rPr>
                      <w:rFonts w:hint="eastAsia" w:ascii="Times New Roman" w:hAnsi="Times New Roman" w:cs="Times New Roman"/>
                      <w:i w:val="0"/>
                      <w:iCs w:val="0"/>
                      <w:color w:val="auto"/>
                      <w:kern w:val="0"/>
                      <w:sz w:val="21"/>
                      <w:szCs w:val="21"/>
                      <w:u w:val="none"/>
                      <w:lang w:val="en-US" w:eastAsia="zh-CN" w:bidi="ar"/>
                    </w:rPr>
                    <w:t>2）</w:t>
                  </w:r>
                </w:p>
              </w:tc>
            </w:tr>
            <w:tr w14:paraId="7B8B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5" w:type="pct"/>
                  <w:vMerge w:val="restart"/>
                  <w:vAlign w:val="center"/>
                </w:tcPr>
                <w:p w14:paraId="48AC50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废水</w:t>
                  </w:r>
                </w:p>
              </w:tc>
              <w:tc>
                <w:tcPr>
                  <w:tcW w:w="818" w:type="pct"/>
                  <w:vAlign w:val="center"/>
                </w:tcPr>
                <w:p w14:paraId="6CE4A56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生活污水</w:t>
                  </w:r>
                </w:p>
              </w:tc>
              <w:tc>
                <w:tcPr>
                  <w:tcW w:w="1640" w:type="pct"/>
                  <w:vMerge w:val="restart"/>
                  <w:vAlign w:val="center"/>
                </w:tcPr>
                <w:p w14:paraId="682AFD9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COD、BOD</w:t>
                  </w:r>
                  <w:r>
                    <w:rPr>
                      <w:rFonts w:hint="default" w:ascii="Times New Roman" w:hAnsi="Times New Roman" w:cs="Times New Roman"/>
                      <w:i w:val="0"/>
                      <w:iCs w:val="0"/>
                      <w:color w:val="auto"/>
                      <w:kern w:val="0"/>
                      <w:sz w:val="21"/>
                      <w:szCs w:val="21"/>
                      <w:u w:val="none"/>
                      <w:vertAlign w:val="subscript"/>
                      <w:lang w:val="en-US" w:eastAsia="zh-CN" w:bidi="ar"/>
                    </w:rPr>
                    <w:t>5</w:t>
                  </w:r>
                  <w:r>
                    <w:rPr>
                      <w:rFonts w:hint="default" w:ascii="Times New Roman" w:hAnsi="Times New Roman" w:cs="Times New Roman"/>
                      <w:i w:val="0"/>
                      <w:iCs w:val="0"/>
                      <w:color w:val="auto"/>
                      <w:kern w:val="0"/>
                      <w:sz w:val="21"/>
                      <w:szCs w:val="21"/>
                      <w:u w:val="none"/>
                      <w:lang w:val="en-US" w:eastAsia="zh-CN" w:bidi="ar"/>
                    </w:rPr>
                    <w:t>、SS、NH</w:t>
                  </w:r>
                  <w:r>
                    <w:rPr>
                      <w:rFonts w:hint="default" w:ascii="Times New Roman" w:hAnsi="Times New Roman" w:cs="Times New Roman"/>
                      <w:i w:val="0"/>
                      <w:iCs w:val="0"/>
                      <w:color w:val="auto"/>
                      <w:kern w:val="0"/>
                      <w:sz w:val="21"/>
                      <w:szCs w:val="21"/>
                      <w:u w:val="none"/>
                      <w:vertAlign w:val="subscript"/>
                      <w:lang w:val="en-US" w:eastAsia="zh-CN" w:bidi="ar"/>
                    </w:rPr>
                    <w:t>3</w:t>
                  </w:r>
                  <w:r>
                    <w:rPr>
                      <w:rFonts w:hint="default" w:ascii="Times New Roman" w:hAnsi="Times New Roman" w:cs="Times New Roman"/>
                      <w:i w:val="0"/>
                      <w:iCs w:val="0"/>
                      <w:color w:val="auto"/>
                      <w:kern w:val="0"/>
                      <w:sz w:val="21"/>
                      <w:szCs w:val="21"/>
                      <w:u w:val="none"/>
                      <w:lang w:val="en-US" w:eastAsia="zh-CN" w:bidi="ar"/>
                    </w:rPr>
                    <w:t>-N、TP、TN</w:t>
                  </w:r>
                </w:p>
              </w:tc>
              <w:tc>
                <w:tcPr>
                  <w:tcW w:w="2035" w:type="pct"/>
                  <w:gridSpan w:val="2"/>
                  <w:vMerge w:val="restart"/>
                  <w:vAlign w:val="center"/>
                </w:tcPr>
                <w:p w14:paraId="0C8D22A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生活污水</w:t>
                  </w:r>
                  <w:r>
                    <w:rPr>
                      <w:rFonts w:hint="default" w:ascii="Times New Roman" w:hAnsi="Times New Roman" w:cs="Times New Roman"/>
                      <w:i w:val="0"/>
                      <w:iCs w:val="0"/>
                      <w:color w:val="auto"/>
                      <w:kern w:val="0"/>
                      <w:sz w:val="21"/>
                      <w:szCs w:val="21"/>
                      <w:u w:val="none"/>
                      <w:lang w:val="en-US" w:eastAsia="zh-CN" w:bidi="ar"/>
                    </w:rPr>
                    <w:t>经化粪池预处理后</w:t>
                  </w:r>
                  <w:r>
                    <w:rPr>
                      <w:rFonts w:hint="eastAsia" w:ascii="Times New Roman" w:hAnsi="Times New Roman" w:cs="Times New Roman"/>
                      <w:i w:val="0"/>
                      <w:iCs w:val="0"/>
                      <w:color w:val="auto"/>
                      <w:kern w:val="0"/>
                      <w:sz w:val="21"/>
                      <w:szCs w:val="21"/>
                      <w:u w:val="none"/>
                      <w:lang w:val="en-US" w:eastAsia="zh-CN" w:bidi="ar"/>
                    </w:rPr>
                    <w:t>与循环冷却水一同</w:t>
                  </w:r>
                  <w:r>
                    <w:rPr>
                      <w:rFonts w:hint="default" w:ascii="Times New Roman" w:hAnsi="Times New Roman" w:cs="Times New Roman"/>
                      <w:i w:val="0"/>
                      <w:iCs w:val="0"/>
                      <w:color w:val="auto"/>
                      <w:kern w:val="0"/>
                      <w:sz w:val="21"/>
                      <w:szCs w:val="21"/>
                      <w:u w:val="none"/>
                      <w:lang w:val="en-US" w:eastAsia="zh-CN" w:bidi="ar"/>
                    </w:rPr>
                    <w:t>通过市政污水管网进入</w:t>
                  </w:r>
                  <w:r>
                    <w:rPr>
                      <w:rFonts w:hint="eastAsia" w:ascii="Times New Roman" w:hAnsi="Times New Roman" w:cs="Times New Roman"/>
                      <w:i w:val="0"/>
                      <w:iCs w:val="0"/>
                      <w:color w:val="auto"/>
                      <w:kern w:val="0"/>
                      <w:sz w:val="21"/>
                      <w:szCs w:val="21"/>
                      <w:u w:val="none"/>
                      <w:lang w:val="en-US" w:eastAsia="zh-CN" w:bidi="ar"/>
                    </w:rPr>
                    <w:t>蚌埠市第二</w:t>
                  </w:r>
                  <w:r>
                    <w:rPr>
                      <w:rFonts w:hint="default" w:ascii="Times New Roman" w:hAnsi="Times New Roman" w:cs="Times New Roman"/>
                      <w:i w:val="0"/>
                      <w:iCs w:val="0"/>
                      <w:color w:val="auto"/>
                      <w:kern w:val="0"/>
                      <w:sz w:val="21"/>
                      <w:szCs w:val="21"/>
                      <w:u w:val="none"/>
                      <w:lang w:val="en-US" w:eastAsia="zh-CN" w:bidi="ar"/>
                    </w:rPr>
                    <w:t>污水处理厂</w:t>
                  </w:r>
                </w:p>
              </w:tc>
            </w:tr>
            <w:tr w14:paraId="20AA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1FB279B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vAlign w:val="center"/>
                </w:tcPr>
                <w:p w14:paraId="6BF215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循环冷却水</w:t>
                  </w:r>
                </w:p>
              </w:tc>
              <w:tc>
                <w:tcPr>
                  <w:tcW w:w="1640" w:type="pct"/>
                  <w:vMerge w:val="continue"/>
                  <w:vAlign w:val="center"/>
                </w:tcPr>
                <w:p w14:paraId="007A1B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2035" w:type="pct"/>
                  <w:gridSpan w:val="2"/>
                  <w:vMerge w:val="continue"/>
                  <w:vAlign w:val="center"/>
                </w:tcPr>
                <w:p w14:paraId="4B3A99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71D9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505" w:type="pct"/>
                  <w:vAlign w:val="center"/>
                </w:tcPr>
                <w:p w14:paraId="4A1F20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噪声</w:t>
                  </w:r>
                </w:p>
              </w:tc>
              <w:tc>
                <w:tcPr>
                  <w:tcW w:w="818" w:type="pct"/>
                  <w:vAlign w:val="center"/>
                </w:tcPr>
                <w:p w14:paraId="5539D0F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设备运行</w:t>
                  </w:r>
                </w:p>
              </w:tc>
              <w:tc>
                <w:tcPr>
                  <w:tcW w:w="1640" w:type="pct"/>
                  <w:vAlign w:val="center"/>
                </w:tcPr>
                <w:p w14:paraId="71A5F0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噪声</w:t>
                  </w:r>
                </w:p>
              </w:tc>
              <w:tc>
                <w:tcPr>
                  <w:tcW w:w="2035" w:type="pct"/>
                  <w:gridSpan w:val="2"/>
                  <w:vAlign w:val="center"/>
                </w:tcPr>
                <w:p w14:paraId="22C6B9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隔声降噪处理</w:t>
                  </w:r>
                </w:p>
              </w:tc>
            </w:tr>
            <w:tr w14:paraId="69D8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restart"/>
                  <w:vAlign w:val="center"/>
                </w:tcPr>
                <w:p w14:paraId="6A1BEE2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固废</w:t>
                  </w:r>
                </w:p>
              </w:tc>
              <w:tc>
                <w:tcPr>
                  <w:tcW w:w="818" w:type="pct"/>
                  <w:shd w:val="clear" w:color="auto" w:fill="auto"/>
                  <w:vAlign w:val="center"/>
                </w:tcPr>
                <w:p w14:paraId="6C0BC9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废包装</w:t>
                  </w:r>
                  <w:r>
                    <w:rPr>
                      <w:rFonts w:hint="eastAsia" w:cs="Times New Roman"/>
                      <w:i w:val="0"/>
                      <w:iCs w:val="0"/>
                      <w:color w:val="auto"/>
                      <w:kern w:val="0"/>
                      <w:sz w:val="21"/>
                      <w:szCs w:val="21"/>
                      <w:u w:val="none"/>
                      <w:lang w:val="en-US" w:eastAsia="zh-CN" w:bidi="ar"/>
                    </w:rPr>
                    <w:t>物</w:t>
                  </w:r>
                </w:p>
              </w:tc>
              <w:tc>
                <w:tcPr>
                  <w:tcW w:w="1640" w:type="pct"/>
                  <w:shd w:val="clear" w:color="auto" w:fill="auto"/>
                  <w:vAlign w:val="center"/>
                </w:tcPr>
                <w:p w14:paraId="72636B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原辅材料外包装废纸箱等</w:t>
                  </w:r>
                </w:p>
              </w:tc>
              <w:tc>
                <w:tcPr>
                  <w:tcW w:w="2035" w:type="pct"/>
                  <w:gridSpan w:val="2"/>
                  <w:vMerge w:val="restart"/>
                  <w:vAlign w:val="center"/>
                </w:tcPr>
                <w:p w14:paraId="3313680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集中收集于一般固废间后外售</w:t>
                  </w:r>
                </w:p>
              </w:tc>
            </w:tr>
            <w:tr w14:paraId="6CF7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542AF06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1A1367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喷漆</w:t>
                  </w:r>
                </w:p>
              </w:tc>
              <w:tc>
                <w:tcPr>
                  <w:tcW w:w="1640" w:type="pct"/>
                  <w:shd w:val="clear" w:color="auto" w:fill="auto"/>
                  <w:vAlign w:val="center"/>
                </w:tcPr>
                <w:p w14:paraId="30D765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废水性漆桶</w:t>
                  </w:r>
                </w:p>
              </w:tc>
              <w:tc>
                <w:tcPr>
                  <w:tcW w:w="2035" w:type="pct"/>
                  <w:gridSpan w:val="2"/>
                  <w:vMerge w:val="continue"/>
                  <w:shd w:val="clear" w:color="auto" w:fill="auto"/>
                  <w:vAlign w:val="center"/>
                </w:tcPr>
                <w:p w14:paraId="0188B7B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0CF4E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28565D7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52912E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喷漆</w:t>
                  </w:r>
                </w:p>
              </w:tc>
              <w:tc>
                <w:tcPr>
                  <w:tcW w:w="1640" w:type="pct"/>
                  <w:shd w:val="clear" w:color="auto" w:fill="auto"/>
                  <w:vAlign w:val="center"/>
                </w:tcPr>
                <w:p w14:paraId="70EBFB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水性漆漆渣</w:t>
                  </w:r>
                </w:p>
              </w:tc>
              <w:tc>
                <w:tcPr>
                  <w:tcW w:w="2035" w:type="pct"/>
                  <w:gridSpan w:val="2"/>
                  <w:vMerge w:val="continue"/>
                  <w:shd w:val="clear" w:color="auto" w:fill="auto"/>
                  <w:vAlign w:val="center"/>
                </w:tcPr>
                <w:p w14:paraId="7B50F27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3F26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5" w:type="pct"/>
                  <w:vMerge w:val="continue"/>
                  <w:vAlign w:val="center"/>
                </w:tcPr>
                <w:p w14:paraId="2A26C00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69C363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设备维护</w:t>
                  </w:r>
                </w:p>
              </w:tc>
              <w:tc>
                <w:tcPr>
                  <w:tcW w:w="1640" w:type="pct"/>
                  <w:shd w:val="clear" w:color="auto" w:fill="auto"/>
                  <w:vAlign w:val="center"/>
                </w:tcPr>
                <w:p w14:paraId="76E7B3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废润滑油</w:t>
                  </w:r>
                </w:p>
              </w:tc>
              <w:tc>
                <w:tcPr>
                  <w:tcW w:w="2035" w:type="pct"/>
                  <w:gridSpan w:val="2"/>
                  <w:vMerge w:val="restart"/>
                  <w:vAlign w:val="center"/>
                </w:tcPr>
                <w:p w14:paraId="0A8283B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暂存于危废暂存库，定期交由有资质单位处置</w:t>
                  </w:r>
                </w:p>
              </w:tc>
            </w:tr>
            <w:tr w14:paraId="4539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085621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51C991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设备维护</w:t>
                  </w:r>
                </w:p>
              </w:tc>
              <w:tc>
                <w:tcPr>
                  <w:tcW w:w="1640" w:type="pct"/>
                  <w:shd w:val="clear" w:color="auto" w:fill="auto"/>
                  <w:vAlign w:val="center"/>
                </w:tcPr>
                <w:p w14:paraId="41FC4F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废润滑油桶</w:t>
                  </w:r>
                </w:p>
              </w:tc>
              <w:tc>
                <w:tcPr>
                  <w:tcW w:w="2035" w:type="pct"/>
                  <w:gridSpan w:val="2"/>
                  <w:vMerge w:val="continue"/>
                  <w:vAlign w:val="center"/>
                </w:tcPr>
                <w:p w14:paraId="479A354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11FA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7755A71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shd w:val="clear" w:color="auto" w:fill="auto"/>
                  <w:vAlign w:val="center"/>
                </w:tcPr>
                <w:p w14:paraId="5D85B84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设备维护</w:t>
                  </w:r>
                </w:p>
              </w:tc>
              <w:tc>
                <w:tcPr>
                  <w:tcW w:w="1640" w:type="pct"/>
                  <w:shd w:val="clear" w:color="auto" w:fill="auto"/>
                  <w:vAlign w:val="center"/>
                </w:tcPr>
                <w:p w14:paraId="0333FDF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废含油抹布手套</w:t>
                  </w:r>
                </w:p>
              </w:tc>
              <w:tc>
                <w:tcPr>
                  <w:tcW w:w="2035" w:type="pct"/>
                  <w:gridSpan w:val="2"/>
                  <w:vMerge w:val="continue"/>
                  <w:vAlign w:val="center"/>
                </w:tcPr>
                <w:p w14:paraId="2FCF259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2801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6C0474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vMerge w:val="restart"/>
                  <w:shd w:val="clear" w:color="auto" w:fill="auto"/>
                  <w:vAlign w:val="center"/>
                </w:tcPr>
                <w:p w14:paraId="46811A1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废气处理</w:t>
                  </w:r>
                </w:p>
              </w:tc>
              <w:tc>
                <w:tcPr>
                  <w:tcW w:w="1640" w:type="pct"/>
                  <w:shd w:val="clear" w:color="auto" w:fill="auto"/>
                  <w:vAlign w:val="center"/>
                </w:tcPr>
                <w:p w14:paraId="7C9035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2035" w:type="pct"/>
                  <w:gridSpan w:val="2"/>
                  <w:vMerge w:val="continue"/>
                  <w:vAlign w:val="center"/>
                </w:tcPr>
                <w:p w14:paraId="448A14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2AA8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74B3FA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vMerge w:val="continue"/>
                  <w:shd w:val="clear" w:color="auto" w:fill="auto"/>
                  <w:vAlign w:val="center"/>
                </w:tcPr>
                <w:p w14:paraId="588A477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1640" w:type="pct"/>
                  <w:shd w:val="clear" w:color="auto" w:fill="auto"/>
                  <w:vAlign w:val="center"/>
                </w:tcPr>
                <w:p w14:paraId="71346A9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废过滤棉</w:t>
                  </w:r>
                </w:p>
              </w:tc>
              <w:tc>
                <w:tcPr>
                  <w:tcW w:w="2035" w:type="pct"/>
                  <w:gridSpan w:val="2"/>
                  <w:vMerge w:val="continue"/>
                  <w:vAlign w:val="center"/>
                </w:tcPr>
                <w:p w14:paraId="304C553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03F8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pct"/>
                  <w:vMerge w:val="continue"/>
                  <w:vAlign w:val="center"/>
                </w:tcPr>
                <w:p w14:paraId="0EC6F9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818" w:type="pct"/>
                  <w:vAlign w:val="center"/>
                </w:tcPr>
                <w:p w14:paraId="41479D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员工生活</w:t>
                  </w:r>
                </w:p>
              </w:tc>
              <w:tc>
                <w:tcPr>
                  <w:tcW w:w="1640" w:type="pct"/>
                  <w:vAlign w:val="center"/>
                </w:tcPr>
                <w:p w14:paraId="3BB281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生活垃圾</w:t>
                  </w:r>
                </w:p>
              </w:tc>
              <w:tc>
                <w:tcPr>
                  <w:tcW w:w="2035" w:type="pct"/>
                  <w:gridSpan w:val="2"/>
                  <w:vAlign w:val="center"/>
                </w:tcPr>
                <w:p w14:paraId="0301AC4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环卫部门统一清运</w:t>
                  </w:r>
                </w:p>
              </w:tc>
            </w:tr>
          </w:tbl>
          <w:p w14:paraId="6393C518">
            <w:pPr>
              <w:ind w:left="0" w:leftChars="0" w:firstLine="0" w:firstLineChars="0"/>
              <w:rPr>
                <w:rFonts w:hint="default" w:ascii="Times New Roman" w:hAnsi="Times New Roman" w:eastAsia="宋体" w:cs="Times New Roman"/>
                <w:color w:val="auto"/>
                <w:kern w:val="2"/>
                <w:sz w:val="24"/>
                <w:szCs w:val="24"/>
                <w:highlight w:val="none"/>
                <w:lang w:val="en-US" w:eastAsia="zh-CN" w:bidi="ar-SA"/>
              </w:rPr>
            </w:pPr>
          </w:p>
        </w:tc>
      </w:tr>
      <w:tr w14:paraId="4248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4" w:type="dxa"/>
            <w:shd w:val="clear" w:color="auto" w:fill="auto"/>
            <w:vAlign w:val="center"/>
          </w:tcPr>
          <w:p w14:paraId="6E87282C">
            <w:pPr>
              <w:adjustRightInd w:val="0"/>
              <w:snapToGrid w:val="0"/>
              <w:spacing w:line="240" w:lineRule="auto"/>
              <w:ind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bCs/>
                <w:color w:val="auto"/>
                <w:highlight w:val="none"/>
              </w:rPr>
              <w:t>与项目有关的原有环境污染问题</w:t>
            </w:r>
          </w:p>
        </w:tc>
        <w:tc>
          <w:tcPr>
            <w:tcW w:w="8048" w:type="dxa"/>
            <w:shd w:val="clear" w:color="auto" w:fill="auto"/>
            <w:vAlign w:val="center"/>
          </w:tcPr>
          <w:p w14:paraId="24A84F52">
            <w:pPr>
              <w:spacing w:line="500" w:lineRule="exact"/>
              <w:ind w:firstLine="480" w:firstLineChars="200"/>
              <w:jc w:val="left"/>
              <w:rPr>
                <w:rFonts w:hint="default"/>
                <w:color w:val="auto"/>
                <w:spacing w:val="-1"/>
                <w:sz w:val="24"/>
                <w:lang w:val="en-US" w:eastAsia="zh-CN"/>
              </w:rPr>
            </w:pPr>
            <w:r>
              <w:rPr>
                <w:rFonts w:ascii="Times New Roman" w:hAnsi="Times New Roman"/>
                <w:bCs/>
                <w:sz w:val="24"/>
              </w:rPr>
              <w:t>本项目为新建项目，经现场踏勘，项目</w:t>
            </w:r>
            <w:r>
              <w:rPr>
                <w:rFonts w:hint="eastAsia" w:ascii="Times New Roman" w:hAnsi="Times New Roman"/>
                <w:bCs/>
                <w:sz w:val="24"/>
                <w:lang w:eastAsia="zh-CN"/>
              </w:rPr>
              <w:t>租赁</w:t>
            </w:r>
            <w:r>
              <w:rPr>
                <w:rFonts w:hint="eastAsia" w:ascii="Times New Roman" w:hAnsi="Times New Roman"/>
                <w:bCs/>
                <w:sz w:val="24"/>
                <w:lang w:val="en-US" w:eastAsia="zh-CN"/>
              </w:rPr>
              <w:t>蚌埠金大地保温器皿有限公司</w:t>
            </w:r>
            <w:r>
              <w:rPr>
                <w:rFonts w:hint="eastAsia" w:ascii="Times New Roman" w:hAnsi="Times New Roman"/>
                <w:bCs/>
                <w:sz w:val="24"/>
              </w:rPr>
              <w:t>空厂房建筑物为闲置状态，</w:t>
            </w:r>
            <w:r>
              <w:rPr>
                <w:rFonts w:hint="eastAsia"/>
                <w:bCs/>
                <w:sz w:val="24"/>
                <w:lang w:eastAsia="zh-CN"/>
              </w:rPr>
              <w:t>项目设备已进场，</w:t>
            </w:r>
            <w:r>
              <w:rPr>
                <w:rFonts w:hint="eastAsia" w:ascii="Times New Roman" w:hAnsi="Times New Roman"/>
                <w:bCs/>
                <w:sz w:val="24"/>
              </w:rPr>
              <w:t>园区雨污管网已建成，</w:t>
            </w:r>
            <w:r>
              <w:rPr>
                <w:rFonts w:ascii="Times New Roman" w:hAnsi="Times New Roman"/>
                <w:bCs/>
                <w:sz w:val="24"/>
              </w:rPr>
              <w:t>不存在项目原有污染</w:t>
            </w:r>
            <w:r>
              <w:rPr>
                <w:rFonts w:hint="eastAsia" w:ascii="Times New Roman" w:hAnsi="Times New Roman"/>
                <w:bCs/>
                <w:sz w:val="24"/>
              </w:rPr>
              <w:t>，无遗留环境</w:t>
            </w:r>
            <w:r>
              <w:rPr>
                <w:rFonts w:ascii="Times New Roman" w:hAnsi="Times New Roman"/>
                <w:bCs/>
                <w:sz w:val="24"/>
              </w:rPr>
              <w:t>问题。</w:t>
            </w:r>
          </w:p>
        </w:tc>
      </w:tr>
    </w:tbl>
    <w:p w14:paraId="6A3D0958">
      <w:pPr>
        <w:rPr>
          <w:color w:val="auto"/>
        </w:rPr>
      </w:pPr>
      <w:r>
        <w:rPr>
          <w:color w:val="auto"/>
        </w:rPr>
        <w:br w:type="page"/>
      </w:r>
    </w:p>
    <w:p w14:paraId="4DEC7F2F">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rPr>
      </w:pPr>
      <w:bookmarkStart w:id="16" w:name="_Toc8866"/>
      <w:bookmarkStart w:id="17" w:name="_Toc21758"/>
      <w:bookmarkStart w:id="18" w:name="_Toc20255"/>
      <w:bookmarkStart w:id="19" w:name="_Toc31211"/>
      <w:r>
        <w:rPr>
          <w:rFonts w:hint="default" w:ascii="Times New Roman" w:hAnsi="Times New Roman" w:eastAsia="黑体" w:cs="Times New Roman"/>
          <w:color w:val="auto"/>
          <w:sz w:val="30"/>
          <w:szCs w:val="30"/>
        </w:rPr>
        <w:t>三、区域环境质量现状、环境保护目标及评价标准</w:t>
      </w:r>
      <w:bookmarkEnd w:id="16"/>
      <w:bookmarkEnd w:id="17"/>
      <w:bookmarkEnd w:id="18"/>
      <w:bookmarkEnd w:id="19"/>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4"/>
        <w:gridCol w:w="8048"/>
      </w:tblGrid>
      <w:tr w14:paraId="687077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4" w:type="dxa"/>
            <w:noWrap w:val="0"/>
            <w:vAlign w:val="center"/>
          </w:tcPr>
          <w:p w14:paraId="64FA8DE8">
            <w:pPr>
              <w:adjustRightInd w:val="0"/>
              <w:snapToGrid w:val="0"/>
              <w:spacing w:line="240" w:lineRule="auto"/>
              <w:ind w:firstLine="0" w:firstLineChars="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区域环境质量现状</w:t>
            </w:r>
          </w:p>
        </w:tc>
        <w:tc>
          <w:tcPr>
            <w:tcW w:w="8048" w:type="dxa"/>
            <w:noWrap w:val="0"/>
            <w:vAlign w:val="top"/>
          </w:tcPr>
          <w:p w14:paraId="7D548F92">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textAlignment w:val="auto"/>
              <w:rPr>
                <w:rFonts w:ascii="Times New Roman" w:hAnsi="Times New Roman"/>
                <w:b/>
                <w:color w:val="auto"/>
                <w:kern w:val="0"/>
                <w:sz w:val="24"/>
              </w:rPr>
            </w:pPr>
            <w:r>
              <w:rPr>
                <w:rFonts w:ascii="Times New Roman" w:hAnsi="Times New Roman"/>
                <w:b/>
                <w:color w:val="auto"/>
                <w:kern w:val="0"/>
                <w:sz w:val="24"/>
              </w:rPr>
              <w:t>环境空气质量现状</w:t>
            </w:r>
          </w:p>
          <w:p w14:paraId="0F433137">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（1）空气质量达标区判定</w:t>
            </w:r>
          </w:p>
          <w:p w14:paraId="31A3C134">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cs="Times New Roman"/>
                <w:bCs/>
                <w:color w:val="auto"/>
                <w:sz w:val="24"/>
                <w:highlight w:val="none"/>
                <w:lang w:val="en-US" w:eastAsia="zh-CN"/>
              </w:rPr>
              <w:t>根据蚌埠市生态环境局发布的202</w:t>
            </w:r>
            <w:r>
              <w:rPr>
                <w:rFonts w:hint="eastAsia" w:cs="Times New Roman"/>
                <w:bCs/>
                <w:color w:val="auto"/>
                <w:sz w:val="24"/>
                <w:highlight w:val="none"/>
                <w:lang w:val="en-US" w:eastAsia="zh-CN"/>
              </w:rPr>
              <w:t>4</w:t>
            </w:r>
            <w:r>
              <w:rPr>
                <w:rFonts w:hint="eastAsia" w:ascii="Times New Roman" w:hAnsi="Times New Roman" w:cs="Times New Roman"/>
                <w:bCs/>
                <w:color w:val="auto"/>
                <w:sz w:val="24"/>
                <w:highlight w:val="none"/>
                <w:lang w:val="en-US" w:eastAsia="zh-CN"/>
              </w:rPr>
              <w:t>年蚌埠市生态环境质量状况公报，202</w:t>
            </w:r>
            <w:r>
              <w:rPr>
                <w:rFonts w:hint="eastAsia" w:cs="Times New Roman"/>
                <w:bCs/>
                <w:color w:val="auto"/>
                <w:sz w:val="24"/>
                <w:highlight w:val="none"/>
                <w:lang w:val="en-US" w:eastAsia="zh-CN"/>
              </w:rPr>
              <w:t>4</w:t>
            </w:r>
            <w:r>
              <w:rPr>
                <w:rFonts w:hint="eastAsia" w:ascii="Times New Roman" w:hAnsi="Times New Roman" w:cs="Times New Roman"/>
                <w:bCs/>
                <w:color w:val="auto"/>
                <w:sz w:val="24"/>
                <w:highlight w:val="none"/>
                <w:lang w:val="en-US" w:eastAsia="zh-CN"/>
              </w:rPr>
              <w:t>年区域环境空气二氧化硫年均值为</w:t>
            </w:r>
            <w:r>
              <w:rPr>
                <w:rFonts w:hint="eastAsia" w:cs="Times New Roman"/>
                <w:bCs/>
                <w:color w:val="auto"/>
                <w:sz w:val="24"/>
                <w:highlight w:val="none"/>
                <w:lang w:val="en-US" w:eastAsia="zh-CN"/>
              </w:rPr>
              <w:t>7</w:t>
            </w:r>
            <w:r>
              <w:rPr>
                <w:color w:val="auto"/>
                <w:sz w:val="24"/>
              </w:rPr>
              <w:t>ug/m</w:t>
            </w:r>
            <w:r>
              <w:rPr>
                <w:color w:val="auto"/>
                <w:sz w:val="24"/>
                <w:vertAlign w:val="superscript"/>
              </w:rPr>
              <w:t>3</w:t>
            </w:r>
            <w:r>
              <w:rPr>
                <w:rFonts w:hint="eastAsia" w:ascii="Times New Roman" w:hAnsi="Times New Roman" w:cs="Times New Roman"/>
                <w:bCs/>
                <w:color w:val="auto"/>
                <w:sz w:val="24"/>
                <w:highlight w:val="none"/>
                <w:lang w:val="en-US" w:eastAsia="zh-CN"/>
              </w:rPr>
              <w:t>、二氧化氮为2</w:t>
            </w:r>
            <w:r>
              <w:rPr>
                <w:rFonts w:hint="eastAsia" w:cs="Times New Roman"/>
                <w:bCs/>
                <w:color w:val="auto"/>
                <w:sz w:val="24"/>
                <w:highlight w:val="none"/>
                <w:lang w:val="en-US" w:eastAsia="zh-CN"/>
              </w:rPr>
              <w:t>1</w:t>
            </w:r>
            <w:r>
              <w:rPr>
                <w:color w:val="auto"/>
                <w:sz w:val="24"/>
              </w:rPr>
              <w:t>ug/m</w:t>
            </w:r>
            <w:r>
              <w:rPr>
                <w:color w:val="auto"/>
                <w:sz w:val="24"/>
                <w:vertAlign w:val="superscript"/>
              </w:rPr>
              <w:t>3</w:t>
            </w:r>
            <w:r>
              <w:rPr>
                <w:rFonts w:hint="eastAsia" w:ascii="Times New Roman" w:hAnsi="Times New Roman" w:cs="Times New Roman"/>
                <w:bCs/>
                <w:color w:val="auto"/>
                <w:sz w:val="24"/>
                <w:highlight w:val="none"/>
                <w:lang w:val="en-US" w:eastAsia="zh-CN"/>
              </w:rPr>
              <w:t>、PM</w:t>
            </w:r>
            <w:r>
              <w:rPr>
                <w:rFonts w:hint="eastAsia" w:ascii="Times New Roman" w:hAnsi="Times New Roman" w:cs="Times New Roman"/>
                <w:bCs/>
                <w:color w:val="auto"/>
                <w:sz w:val="24"/>
                <w:highlight w:val="none"/>
                <w:vertAlign w:val="subscript"/>
                <w:lang w:val="en-US" w:eastAsia="zh-CN"/>
              </w:rPr>
              <w:t>10</w:t>
            </w:r>
            <w:r>
              <w:rPr>
                <w:rFonts w:hint="eastAsia" w:ascii="Times New Roman" w:hAnsi="Times New Roman" w:cs="Times New Roman"/>
                <w:bCs/>
                <w:color w:val="auto"/>
                <w:sz w:val="24"/>
                <w:highlight w:val="none"/>
                <w:lang w:val="en-US" w:eastAsia="zh-CN"/>
              </w:rPr>
              <w:t>为6</w:t>
            </w:r>
            <w:r>
              <w:rPr>
                <w:rFonts w:hint="eastAsia" w:cs="Times New Roman"/>
                <w:bCs/>
                <w:color w:val="auto"/>
                <w:sz w:val="24"/>
                <w:highlight w:val="none"/>
                <w:lang w:val="en-US" w:eastAsia="zh-CN"/>
              </w:rPr>
              <w:t>2</w:t>
            </w:r>
            <w:r>
              <w:rPr>
                <w:color w:val="auto"/>
                <w:sz w:val="24"/>
              </w:rPr>
              <w:t>ug/m</w:t>
            </w:r>
            <w:r>
              <w:rPr>
                <w:color w:val="auto"/>
                <w:sz w:val="24"/>
                <w:vertAlign w:val="superscript"/>
              </w:rPr>
              <w:t>3</w:t>
            </w:r>
            <w:r>
              <w:rPr>
                <w:rFonts w:hint="eastAsia" w:ascii="Times New Roman" w:hAnsi="Times New Roman" w:cs="Times New Roman"/>
                <w:bCs/>
                <w:color w:val="auto"/>
                <w:sz w:val="24"/>
                <w:highlight w:val="none"/>
                <w:lang w:val="en-US" w:eastAsia="zh-CN"/>
              </w:rPr>
              <w:t>、PM</w:t>
            </w:r>
            <w:r>
              <w:rPr>
                <w:rFonts w:hint="eastAsia" w:ascii="Times New Roman" w:hAnsi="Times New Roman" w:cs="Times New Roman"/>
                <w:bCs/>
                <w:color w:val="auto"/>
                <w:sz w:val="24"/>
                <w:highlight w:val="none"/>
                <w:vertAlign w:val="subscript"/>
                <w:lang w:val="en-US" w:eastAsia="zh-CN"/>
              </w:rPr>
              <w:t>2.5</w:t>
            </w:r>
            <w:r>
              <w:rPr>
                <w:rFonts w:hint="eastAsia" w:ascii="Times New Roman" w:hAnsi="Times New Roman" w:cs="Times New Roman"/>
                <w:bCs/>
                <w:color w:val="auto"/>
                <w:sz w:val="24"/>
                <w:highlight w:val="none"/>
                <w:lang w:val="en-US" w:eastAsia="zh-CN"/>
              </w:rPr>
              <w:t>为3</w:t>
            </w:r>
            <w:r>
              <w:rPr>
                <w:rFonts w:hint="eastAsia" w:cs="Times New Roman"/>
                <w:bCs/>
                <w:color w:val="auto"/>
                <w:sz w:val="24"/>
                <w:highlight w:val="none"/>
                <w:lang w:val="en-US" w:eastAsia="zh-CN"/>
              </w:rPr>
              <w:t>9</w:t>
            </w:r>
            <w:r>
              <w:rPr>
                <w:color w:val="auto"/>
                <w:sz w:val="24"/>
              </w:rPr>
              <w:t>ug/m</w:t>
            </w:r>
            <w:r>
              <w:rPr>
                <w:color w:val="auto"/>
                <w:sz w:val="24"/>
                <w:vertAlign w:val="superscript"/>
              </w:rPr>
              <w:t>3</w:t>
            </w:r>
            <w:r>
              <w:rPr>
                <w:rFonts w:hint="eastAsia" w:ascii="Times New Roman" w:hAnsi="Times New Roman" w:cs="Times New Roman"/>
                <w:bCs/>
                <w:color w:val="auto"/>
                <w:sz w:val="24"/>
                <w:highlight w:val="none"/>
                <w:lang w:val="en-US" w:eastAsia="zh-CN"/>
              </w:rPr>
              <w:t>、一氧化碳日平均第95百分位数为0.8</w:t>
            </w:r>
            <w:r>
              <w:rPr>
                <w:color w:val="auto"/>
                <w:sz w:val="24"/>
              </w:rPr>
              <w:t>mg/m</w:t>
            </w:r>
            <w:r>
              <w:rPr>
                <w:color w:val="auto"/>
                <w:sz w:val="24"/>
                <w:vertAlign w:val="superscript"/>
              </w:rPr>
              <w:t>3</w:t>
            </w:r>
            <w:r>
              <w:rPr>
                <w:rFonts w:hint="eastAsia" w:ascii="Times New Roman" w:hAnsi="Times New Roman" w:cs="Times New Roman"/>
                <w:bCs/>
                <w:color w:val="auto"/>
                <w:sz w:val="24"/>
                <w:highlight w:val="none"/>
                <w:lang w:val="en-US" w:eastAsia="zh-CN"/>
              </w:rPr>
              <w:t>、臭氧日8小时最大平均第90百分位数为</w:t>
            </w:r>
            <w:r>
              <w:rPr>
                <w:rFonts w:hint="eastAsia" w:cs="Times New Roman"/>
                <w:bCs/>
                <w:color w:val="auto"/>
                <w:sz w:val="24"/>
                <w:highlight w:val="none"/>
                <w:lang w:val="en-US" w:eastAsia="zh-CN"/>
              </w:rPr>
              <w:t>163</w:t>
            </w:r>
            <w:r>
              <w:rPr>
                <w:color w:val="auto"/>
                <w:sz w:val="24"/>
              </w:rPr>
              <w:t>ug/m</w:t>
            </w:r>
            <w:r>
              <w:rPr>
                <w:color w:val="auto"/>
                <w:sz w:val="24"/>
                <w:vertAlign w:val="superscript"/>
              </w:rPr>
              <w:t>3</w:t>
            </w:r>
            <w:r>
              <w:rPr>
                <w:rFonts w:hint="default" w:ascii="Times New Roman" w:hAnsi="Times New Roman" w:eastAsia="宋体" w:cs="Times New Roman"/>
                <w:color w:val="auto"/>
                <w:sz w:val="24"/>
              </w:rPr>
              <w:t>。</w:t>
            </w:r>
          </w:p>
          <w:p w14:paraId="134DD6ED">
            <w:pPr>
              <w:spacing w:line="240" w:lineRule="auto"/>
              <w:ind w:firstLine="0" w:firstLineChars="0"/>
              <w:contextualSpacing/>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表3-1  2024年蚌埠市环境空气质量现状评价表</w:t>
            </w:r>
          </w:p>
          <w:tbl>
            <w:tblPr>
              <w:tblStyle w:val="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
              <w:gridCol w:w="2289"/>
              <w:gridCol w:w="1465"/>
              <w:gridCol w:w="1465"/>
              <w:gridCol w:w="1104"/>
              <w:gridCol w:w="792"/>
            </w:tblGrid>
            <w:tr w14:paraId="109DC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2" w:type="pct"/>
                  <w:vAlign w:val="center"/>
                </w:tcPr>
                <w:p w14:paraId="5B9FEC52">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污染物</w:t>
                  </w:r>
                </w:p>
              </w:tc>
              <w:tc>
                <w:tcPr>
                  <w:tcW w:w="1462" w:type="pct"/>
                  <w:vAlign w:val="center"/>
                </w:tcPr>
                <w:p w14:paraId="42D5CAF3">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年评价指标</w:t>
                  </w:r>
                </w:p>
              </w:tc>
              <w:tc>
                <w:tcPr>
                  <w:tcW w:w="936" w:type="pct"/>
                  <w:vAlign w:val="center"/>
                </w:tcPr>
                <w:p w14:paraId="55E631F6">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标准值（μg/m</w:t>
                  </w:r>
                  <w:r>
                    <w:rPr>
                      <w:rFonts w:ascii="Times New Roman" w:hAnsi="Times New Roman" w:cs="Times New Roman"/>
                      <w:b/>
                      <w:bCs/>
                      <w:color w:val="auto"/>
                      <w:sz w:val="21"/>
                      <w:szCs w:val="21"/>
                      <w:vertAlign w:val="superscript"/>
                      <w:lang w:eastAsia="zh-CN"/>
                    </w:rPr>
                    <w:t>3</w:t>
                  </w:r>
                  <w:r>
                    <w:rPr>
                      <w:rFonts w:ascii="Times New Roman" w:hAnsi="Times New Roman" w:cs="Times New Roman"/>
                      <w:b/>
                      <w:bCs/>
                      <w:color w:val="auto"/>
                      <w:sz w:val="21"/>
                      <w:szCs w:val="21"/>
                    </w:rPr>
                    <w:t>）</w:t>
                  </w:r>
                </w:p>
              </w:tc>
              <w:tc>
                <w:tcPr>
                  <w:tcW w:w="936" w:type="pct"/>
                  <w:vAlign w:val="center"/>
                </w:tcPr>
                <w:p w14:paraId="5D3D68DB">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现状浓度（μg/m</w:t>
                  </w:r>
                  <w:r>
                    <w:rPr>
                      <w:rFonts w:ascii="Times New Roman" w:hAnsi="Times New Roman" w:cs="Times New Roman"/>
                      <w:b/>
                      <w:bCs/>
                      <w:color w:val="auto"/>
                      <w:sz w:val="21"/>
                      <w:szCs w:val="21"/>
                      <w:vertAlign w:val="superscript"/>
                      <w:lang w:eastAsia="zh-CN"/>
                    </w:rPr>
                    <w:t>3</w:t>
                  </w:r>
                  <w:r>
                    <w:rPr>
                      <w:rFonts w:ascii="Times New Roman" w:hAnsi="Times New Roman" w:cs="Times New Roman"/>
                      <w:b/>
                      <w:bCs/>
                      <w:color w:val="auto"/>
                      <w:sz w:val="21"/>
                      <w:szCs w:val="21"/>
                    </w:rPr>
                    <w:t>）</w:t>
                  </w:r>
                </w:p>
              </w:tc>
              <w:tc>
                <w:tcPr>
                  <w:tcW w:w="705" w:type="pct"/>
                  <w:vAlign w:val="center"/>
                </w:tcPr>
                <w:p w14:paraId="51831547">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占标率%</w:t>
                  </w:r>
                </w:p>
              </w:tc>
              <w:tc>
                <w:tcPr>
                  <w:tcW w:w="506" w:type="pct"/>
                  <w:vAlign w:val="center"/>
                </w:tcPr>
                <w:p w14:paraId="739443EB">
                  <w:pPr>
                    <w:pStyle w:val="74"/>
                    <w:spacing w:line="300" w:lineRule="exact"/>
                    <w:ind w:left="0" w:leftChars="0"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达标情况</w:t>
                  </w:r>
                </w:p>
              </w:tc>
            </w:tr>
            <w:tr w14:paraId="00B21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 w:type="pct"/>
                  <w:vAlign w:val="center"/>
                </w:tcPr>
                <w:p w14:paraId="062D1499">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position w:val="2"/>
                      <w:sz w:val="21"/>
                      <w:szCs w:val="21"/>
                    </w:rPr>
                    <w:t>SO</w:t>
                  </w:r>
                  <w:r>
                    <w:rPr>
                      <w:rFonts w:ascii="Times New Roman" w:hAnsi="Times New Roman" w:cs="Times New Roman"/>
                      <w:color w:val="auto"/>
                      <w:position w:val="2"/>
                      <w:sz w:val="21"/>
                      <w:szCs w:val="21"/>
                      <w:vertAlign w:val="subscript"/>
                    </w:rPr>
                    <w:t>2</w:t>
                  </w:r>
                </w:p>
              </w:tc>
              <w:tc>
                <w:tcPr>
                  <w:tcW w:w="1462" w:type="pct"/>
                  <w:vAlign w:val="center"/>
                </w:tcPr>
                <w:p w14:paraId="43301CCA">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936" w:type="pct"/>
                  <w:vAlign w:val="center"/>
                </w:tcPr>
                <w:p w14:paraId="5BE8A4B8">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60</w:t>
                  </w:r>
                </w:p>
              </w:tc>
              <w:tc>
                <w:tcPr>
                  <w:tcW w:w="936" w:type="pct"/>
                  <w:vAlign w:val="center"/>
                </w:tcPr>
                <w:p w14:paraId="72D91FCA">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7</w:t>
                  </w:r>
                </w:p>
              </w:tc>
              <w:tc>
                <w:tcPr>
                  <w:tcW w:w="705" w:type="pct"/>
                  <w:vAlign w:val="center"/>
                </w:tcPr>
                <w:p w14:paraId="30B059ED">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11.67</w:t>
                  </w:r>
                </w:p>
              </w:tc>
              <w:tc>
                <w:tcPr>
                  <w:tcW w:w="506" w:type="pct"/>
                  <w:vAlign w:val="center"/>
                </w:tcPr>
                <w:p w14:paraId="059940E7">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r>
            <w:tr w14:paraId="5BDBE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 w:type="pct"/>
                  <w:vAlign w:val="center"/>
                </w:tcPr>
                <w:p w14:paraId="170DD11F">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position w:val="2"/>
                      <w:sz w:val="21"/>
                      <w:szCs w:val="21"/>
                    </w:rPr>
                    <w:t>NO</w:t>
                  </w:r>
                  <w:r>
                    <w:rPr>
                      <w:rFonts w:ascii="Times New Roman" w:hAnsi="Times New Roman" w:cs="Times New Roman"/>
                      <w:color w:val="auto"/>
                      <w:position w:val="2"/>
                      <w:sz w:val="21"/>
                      <w:szCs w:val="21"/>
                      <w:vertAlign w:val="subscript"/>
                    </w:rPr>
                    <w:t>2</w:t>
                  </w:r>
                </w:p>
              </w:tc>
              <w:tc>
                <w:tcPr>
                  <w:tcW w:w="1462" w:type="pct"/>
                  <w:vAlign w:val="center"/>
                </w:tcPr>
                <w:p w14:paraId="62A398B2">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936" w:type="pct"/>
                  <w:vAlign w:val="center"/>
                </w:tcPr>
                <w:p w14:paraId="5391EF8E">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40</w:t>
                  </w:r>
                </w:p>
              </w:tc>
              <w:tc>
                <w:tcPr>
                  <w:tcW w:w="936" w:type="pct"/>
                  <w:vAlign w:val="center"/>
                </w:tcPr>
                <w:p w14:paraId="33D7771C">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21</w:t>
                  </w:r>
                </w:p>
              </w:tc>
              <w:tc>
                <w:tcPr>
                  <w:tcW w:w="705" w:type="pct"/>
                  <w:vAlign w:val="center"/>
                </w:tcPr>
                <w:p w14:paraId="7B747220">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52.5</w:t>
                  </w:r>
                </w:p>
              </w:tc>
              <w:tc>
                <w:tcPr>
                  <w:tcW w:w="506" w:type="pct"/>
                  <w:vAlign w:val="center"/>
                </w:tcPr>
                <w:p w14:paraId="26DA40BD">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r>
            <w:tr w14:paraId="24087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 w:type="pct"/>
                  <w:vAlign w:val="center"/>
                </w:tcPr>
                <w:p w14:paraId="4EC9FD90">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position w:val="2"/>
                      <w:sz w:val="21"/>
                      <w:szCs w:val="21"/>
                    </w:rPr>
                    <w:t>PM</w:t>
                  </w:r>
                  <w:r>
                    <w:rPr>
                      <w:rFonts w:ascii="Times New Roman" w:hAnsi="Times New Roman" w:cs="Times New Roman"/>
                      <w:color w:val="auto"/>
                      <w:position w:val="2"/>
                      <w:sz w:val="21"/>
                      <w:szCs w:val="21"/>
                      <w:vertAlign w:val="subscript"/>
                    </w:rPr>
                    <w:t>10</w:t>
                  </w:r>
                </w:p>
              </w:tc>
              <w:tc>
                <w:tcPr>
                  <w:tcW w:w="1462" w:type="pct"/>
                  <w:vAlign w:val="center"/>
                </w:tcPr>
                <w:p w14:paraId="69EBE05B">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936" w:type="pct"/>
                  <w:vAlign w:val="center"/>
                </w:tcPr>
                <w:p w14:paraId="046E0F70">
                  <w:pPr>
                    <w:pStyle w:val="74"/>
                    <w:spacing w:line="300" w:lineRule="exact"/>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c>
                <w:tcPr>
                  <w:tcW w:w="936" w:type="pct"/>
                  <w:vAlign w:val="center"/>
                </w:tcPr>
                <w:p w14:paraId="58400CA2">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62</w:t>
                  </w:r>
                </w:p>
              </w:tc>
              <w:tc>
                <w:tcPr>
                  <w:tcW w:w="705" w:type="pct"/>
                  <w:vAlign w:val="center"/>
                </w:tcPr>
                <w:p w14:paraId="4C451F62">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88.57</w:t>
                  </w:r>
                </w:p>
              </w:tc>
              <w:tc>
                <w:tcPr>
                  <w:tcW w:w="506" w:type="pct"/>
                  <w:vAlign w:val="center"/>
                </w:tcPr>
                <w:p w14:paraId="3291BC2C">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r>
            <w:tr w14:paraId="5FC67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 w:type="pct"/>
                  <w:vAlign w:val="center"/>
                </w:tcPr>
                <w:p w14:paraId="17DCF741">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w w:val="105"/>
                      <w:position w:val="2"/>
                      <w:sz w:val="21"/>
                      <w:szCs w:val="21"/>
                    </w:rPr>
                    <w:t>PM</w:t>
                  </w:r>
                  <w:r>
                    <w:rPr>
                      <w:rFonts w:ascii="Times New Roman" w:hAnsi="Times New Roman" w:cs="Times New Roman"/>
                      <w:color w:val="auto"/>
                      <w:w w:val="105"/>
                      <w:sz w:val="21"/>
                      <w:szCs w:val="21"/>
                      <w:vertAlign w:val="subscript"/>
                    </w:rPr>
                    <w:t>2.5</w:t>
                  </w:r>
                </w:p>
              </w:tc>
              <w:tc>
                <w:tcPr>
                  <w:tcW w:w="1462" w:type="pct"/>
                  <w:vAlign w:val="center"/>
                </w:tcPr>
                <w:p w14:paraId="45C9F185">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936" w:type="pct"/>
                  <w:vAlign w:val="center"/>
                </w:tcPr>
                <w:p w14:paraId="0DA8AAD8">
                  <w:pPr>
                    <w:pStyle w:val="74"/>
                    <w:spacing w:line="300" w:lineRule="exact"/>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30</w:t>
                  </w:r>
                </w:p>
              </w:tc>
              <w:tc>
                <w:tcPr>
                  <w:tcW w:w="936" w:type="pct"/>
                  <w:vAlign w:val="center"/>
                </w:tcPr>
                <w:p w14:paraId="1313BA99">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39</w:t>
                  </w:r>
                </w:p>
              </w:tc>
              <w:tc>
                <w:tcPr>
                  <w:tcW w:w="705" w:type="pct"/>
                  <w:vAlign w:val="center"/>
                </w:tcPr>
                <w:p w14:paraId="16C524CD">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108.33</w:t>
                  </w:r>
                </w:p>
              </w:tc>
              <w:tc>
                <w:tcPr>
                  <w:tcW w:w="506" w:type="pct"/>
                  <w:vAlign w:val="center"/>
                </w:tcPr>
                <w:p w14:paraId="56978E80">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不达标</w:t>
                  </w:r>
                </w:p>
              </w:tc>
            </w:tr>
            <w:tr w14:paraId="28887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 w:type="pct"/>
                  <w:vAlign w:val="center"/>
                </w:tcPr>
                <w:p w14:paraId="798FF5BA">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CO</w:t>
                  </w:r>
                </w:p>
              </w:tc>
              <w:tc>
                <w:tcPr>
                  <w:tcW w:w="1462" w:type="pct"/>
                  <w:vAlign w:val="center"/>
                </w:tcPr>
                <w:p w14:paraId="786DD6C9">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日平均第95百分位数</w:t>
                  </w:r>
                </w:p>
              </w:tc>
              <w:tc>
                <w:tcPr>
                  <w:tcW w:w="936" w:type="pct"/>
                  <w:vAlign w:val="center"/>
                </w:tcPr>
                <w:p w14:paraId="233AAC8C">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4000</w:t>
                  </w:r>
                </w:p>
              </w:tc>
              <w:tc>
                <w:tcPr>
                  <w:tcW w:w="936" w:type="pct"/>
                  <w:vAlign w:val="center"/>
                </w:tcPr>
                <w:p w14:paraId="1960E3FF">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800</w:t>
                  </w:r>
                </w:p>
              </w:tc>
              <w:tc>
                <w:tcPr>
                  <w:tcW w:w="705" w:type="pct"/>
                  <w:vAlign w:val="center"/>
                </w:tcPr>
                <w:p w14:paraId="3ECBED10">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20</w:t>
                  </w:r>
                </w:p>
              </w:tc>
              <w:tc>
                <w:tcPr>
                  <w:tcW w:w="506" w:type="pct"/>
                  <w:vAlign w:val="center"/>
                </w:tcPr>
                <w:p w14:paraId="6BD47BE3">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r>
            <w:tr w14:paraId="378E4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2" w:type="pct"/>
                  <w:vAlign w:val="center"/>
                </w:tcPr>
                <w:p w14:paraId="3B0BA05A">
                  <w:pPr>
                    <w:pStyle w:val="74"/>
                    <w:spacing w:line="300" w:lineRule="exact"/>
                    <w:ind w:left="0" w:leftChars="0" w:firstLine="0" w:firstLineChars="0"/>
                    <w:jc w:val="center"/>
                    <w:rPr>
                      <w:rFonts w:ascii="Times New Roman" w:hAnsi="Times New Roman" w:cs="Times New Roman"/>
                      <w:color w:val="auto"/>
                      <w:sz w:val="21"/>
                      <w:szCs w:val="21"/>
                    </w:rPr>
                  </w:pPr>
                  <w:r>
                    <w:rPr>
                      <w:rFonts w:ascii="Times New Roman" w:hAnsi="Times New Roman" w:cs="Times New Roman"/>
                      <w:color w:val="auto"/>
                      <w:position w:val="2"/>
                      <w:sz w:val="21"/>
                      <w:szCs w:val="21"/>
                    </w:rPr>
                    <w:t>O</w:t>
                  </w:r>
                  <w:r>
                    <w:rPr>
                      <w:rFonts w:ascii="Times New Roman" w:hAnsi="Times New Roman" w:cs="Times New Roman"/>
                      <w:color w:val="auto"/>
                      <w:position w:val="2"/>
                      <w:sz w:val="21"/>
                      <w:szCs w:val="21"/>
                      <w:vertAlign w:val="subscript"/>
                    </w:rPr>
                    <w:t>3</w:t>
                  </w:r>
                </w:p>
              </w:tc>
              <w:tc>
                <w:tcPr>
                  <w:tcW w:w="1462" w:type="pct"/>
                  <w:vAlign w:val="center"/>
                </w:tcPr>
                <w:p w14:paraId="6947608E">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日最大8小时平均第90百分位数</w:t>
                  </w:r>
                </w:p>
              </w:tc>
              <w:tc>
                <w:tcPr>
                  <w:tcW w:w="936" w:type="pct"/>
                  <w:vAlign w:val="center"/>
                </w:tcPr>
                <w:p w14:paraId="15CD76B0">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160</w:t>
                  </w:r>
                </w:p>
              </w:tc>
              <w:tc>
                <w:tcPr>
                  <w:tcW w:w="936" w:type="pct"/>
                  <w:vAlign w:val="center"/>
                </w:tcPr>
                <w:p w14:paraId="33D8A490">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163</w:t>
                  </w:r>
                </w:p>
              </w:tc>
              <w:tc>
                <w:tcPr>
                  <w:tcW w:w="705" w:type="pct"/>
                  <w:vAlign w:val="center"/>
                </w:tcPr>
                <w:p w14:paraId="26294F5A">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101.88</w:t>
                  </w:r>
                </w:p>
              </w:tc>
              <w:tc>
                <w:tcPr>
                  <w:tcW w:w="506" w:type="pct"/>
                  <w:vAlign w:val="center"/>
                </w:tcPr>
                <w:p w14:paraId="196ABD35">
                  <w:pPr>
                    <w:pStyle w:val="74"/>
                    <w:spacing w:line="300" w:lineRule="exact"/>
                    <w:ind w:left="0" w:leftChars="0" w:firstLine="0" w:firstLineChars="0"/>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不达标</w:t>
                  </w:r>
                </w:p>
              </w:tc>
            </w:tr>
          </w:tbl>
          <w:p w14:paraId="768D1D60">
            <w:pPr>
              <w:keepNext w:val="0"/>
              <w:keepLines w:val="0"/>
              <w:suppressLineNumbers w:val="0"/>
              <w:spacing w:before="0" w:beforeAutospacing="0" w:after="0" w:afterAutospacing="0" w:line="360" w:lineRule="auto"/>
              <w:ind w:left="0" w:right="0" w:firstLine="480" w:firstLineChars="200"/>
              <w:contextualSpacing/>
              <w:rPr>
                <w:rFonts w:hint="eastAsia"/>
                <w:color w:val="auto"/>
                <w:kern w:val="0"/>
                <w:sz w:val="24"/>
              </w:rPr>
            </w:pPr>
            <w:r>
              <w:rPr>
                <w:rFonts w:hint="eastAsia"/>
                <w:color w:val="auto"/>
                <w:kern w:val="0"/>
                <w:sz w:val="24"/>
              </w:rPr>
              <w:t>综上所述，202</w:t>
            </w:r>
            <w:r>
              <w:rPr>
                <w:rFonts w:hint="eastAsia"/>
                <w:color w:val="auto"/>
                <w:kern w:val="0"/>
                <w:sz w:val="24"/>
                <w:lang w:val="en-US" w:eastAsia="zh-CN"/>
              </w:rPr>
              <w:t>4</w:t>
            </w:r>
            <w:r>
              <w:rPr>
                <w:rFonts w:hint="eastAsia"/>
                <w:color w:val="auto"/>
                <w:kern w:val="0"/>
                <w:sz w:val="24"/>
              </w:rPr>
              <w:t>年度</w:t>
            </w:r>
            <w:r>
              <w:rPr>
                <w:rFonts w:hint="eastAsia"/>
                <w:color w:val="auto"/>
                <w:kern w:val="0"/>
                <w:sz w:val="24"/>
                <w:lang w:eastAsia="zh-CN"/>
              </w:rPr>
              <w:t>蚌埠</w:t>
            </w:r>
            <w:r>
              <w:rPr>
                <w:rFonts w:hint="eastAsia"/>
                <w:color w:val="auto"/>
                <w:kern w:val="0"/>
                <w:sz w:val="24"/>
              </w:rPr>
              <w:t>市环境空气质量现状</w:t>
            </w:r>
            <w:r>
              <w:rPr>
                <w:rFonts w:hint="default" w:ascii="Times New Roman" w:hAnsi="Times New Roman" w:eastAsia="宋体" w:cs="Times New Roman"/>
                <w:color w:val="auto"/>
                <w:kern w:val="0"/>
                <w:sz w:val="24"/>
                <w:szCs w:val="24"/>
                <w:lang w:val="en-US" w:eastAsia="zh-CN" w:bidi="ar"/>
              </w:rPr>
              <w:t>PM</w:t>
            </w:r>
            <w:r>
              <w:rPr>
                <w:rFonts w:hint="default" w:ascii="Times New Roman" w:hAnsi="Times New Roman" w:eastAsia="宋体" w:cs="Times New Roman"/>
                <w:color w:val="auto"/>
                <w:kern w:val="0"/>
                <w:sz w:val="15"/>
                <w:szCs w:val="15"/>
                <w:lang w:val="en-US" w:eastAsia="zh-CN" w:bidi="ar"/>
              </w:rPr>
              <w:t>2.5</w:t>
            </w:r>
            <w:r>
              <w:rPr>
                <w:rFonts w:hint="default" w:ascii="Times New Roman" w:hAnsi="Times New Roman" w:eastAsia="宋体" w:cs="Times New Roman"/>
                <w:color w:val="auto"/>
                <w:kern w:val="0"/>
                <w:sz w:val="24"/>
                <w:szCs w:val="24"/>
                <w:lang w:val="en-US" w:eastAsia="zh-CN" w:bidi="ar"/>
              </w:rPr>
              <w:t>、O</w:t>
            </w:r>
            <w:r>
              <w:rPr>
                <w:rFonts w:hint="default" w:ascii="Times New Roman" w:hAnsi="Times New Roman" w:eastAsia="宋体" w:cs="Times New Roman"/>
                <w:color w:val="auto"/>
                <w:kern w:val="0"/>
                <w:sz w:val="15"/>
                <w:szCs w:val="15"/>
                <w:lang w:val="en-US" w:eastAsia="zh-CN" w:bidi="ar"/>
              </w:rPr>
              <w:t>3</w:t>
            </w:r>
            <w:r>
              <w:rPr>
                <w:rFonts w:hint="eastAsia"/>
                <w:color w:val="auto"/>
                <w:kern w:val="0"/>
                <w:sz w:val="24"/>
                <w:lang w:eastAsia="zh-CN"/>
              </w:rPr>
              <w:t>不</w:t>
            </w:r>
            <w:r>
              <w:rPr>
                <w:rFonts w:hint="eastAsia"/>
                <w:color w:val="auto"/>
                <w:kern w:val="0"/>
                <w:sz w:val="24"/>
              </w:rPr>
              <w:t>满足《环境空气质量标准》（GB3095-2012）二级标准要求，项目所在地为</w:t>
            </w:r>
            <w:r>
              <w:rPr>
                <w:rFonts w:hint="eastAsia"/>
                <w:color w:val="auto"/>
                <w:kern w:val="0"/>
                <w:sz w:val="24"/>
                <w:lang w:eastAsia="zh-CN"/>
              </w:rPr>
              <w:t>不</w:t>
            </w:r>
            <w:r>
              <w:rPr>
                <w:rFonts w:hint="eastAsia"/>
                <w:color w:val="auto"/>
                <w:kern w:val="0"/>
                <w:sz w:val="24"/>
              </w:rPr>
              <w:t>达标区域</w:t>
            </w:r>
            <w:r>
              <w:rPr>
                <w:rFonts w:hint="eastAsia"/>
                <w:color w:val="auto"/>
                <w:kern w:val="0"/>
                <w:sz w:val="24"/>
                <w:lang w:eastAsia="zh-CN"/>
              </w:rPr>
              <w:t>；同时对照</w:t>
            </w:r>
            <w:r>
              <w:rPr>
                <w:rFonts w:hint="eastAsia"/>
                <w:color w:val="auto"/>
                <w:kern w:val="0"/>
                <w:sz w:val="24"/>
              </w:rPr>
              <w:t>《环境空气质量标准》（GB3095-20</w:t>
            </w:r>
            <w:r>
              <w:rPr>
                <w:rFonts w:hint="eastAsia"/>
                <w:color w:val="auto"/>
                <w:kern w:val="0"/>
                <w:sz w:val="24"/>
                <w:lang w:val="en-US" w:eastAsia="zh-CN"/>
              </w:rPr>
              <w:t>26</w:t>
            </w:r>
            <w:r>
              <w:rPr>
                <w:rFonts w:hint="eastAsia"/>
                <w:color w:val="auto"/>
                <w:kern w:val="0"/>
                <w:sz w:val="24"/>
              </w:rPr>
              <w:t>）二级标准要求，</w:t>
            </w:r>
            <w:r>
              <w:rPr>
                <w:rFonts w:hint="default" w:ascii="Times New Roman" w:hAnsi="Times New Roman" w:eastAsia="宋体" w:cs="Times New Roman"/>
                <w:color w:val="auto"/>
                <w:kern w:val="0"/>
                <w:sz w:val="24"/>
                <w:szCs w:val="24"/>
                <w:lang w:val="en-US" w:eastAsia="zh-CN" w:bidi="ar"/>
              </w:rPr>
              <w:t>PM</w:t>
            </w:r>
            <w:r>
              <w:rPr>
                <w:rFonts w:hint="default" w:ascii="Times New Roman" w:hAnsi="Times New Roman" w:eastAsia="宋体" w:cs="Times New Roman"/>
                <w:color w:val="auto"/>
                <w:kern w:val="0"/>
                <w:sz w:val="15"/>
                <w:szCs w:val="15"/>
                <w:lang w:val="en-US" w:eastAsia="zh-CN" w:bidi="ar"/>
              </w:rPr>
              <w:t>2.5</w:t>
            </w:r>
            <w:r>
              <w:rPr>
                <w:rFonts w:hint="default" w:ascii="Times New Roman" w:hAnsi="Times New Roman" w:eastAsia="宋体" w:cs="Times New Roman"/>
                <w:color w:val="auto"/>
                <w:kern w:val="0"/>
                <w:sz w:val="24"/>
                <w:szCs w:val="24"/>
                <w:lang w:val="en-US" w:eastAsia="zh-CN" w:bidi="ar"/>
              </w:rPr>
              <w:t>、O</w:t>
            </w:r>
            <w:r>
              <w:rPr>
                <w:rFonts w:hint="default" w:ascii="Times New Roman" w:hAnsi="Times New Roman" w:eastAsia="宋体" w:cs="Times New Roman"/>
                <w:color w:val="auto"/>
                <w:kern w:val="0"/>
                <w:sz w:val="15"/>
                <w:szCs w:val="15"/>
                <w:lang w:val="en-US" w:eastAsia="zh-CN" w:bidi="ar"/>
              </w:rPr>
              <w:t>3</w:t>
            </w:r>
            <w:r>
              <w:rPr>
                <w:rFonts w:hint="eastAsia"/>
                <w:color w:val="auto"/>
                <w:kern w:val="0"/>
                <w:sz w:val="24"/>
                <w:lang w:val="en-US" w:eastAsia="zh-CN"/>
              </w:rPr>
              <w:t>不能满足标准限值要求</w:t>
            </w:r>
            <w:r>
              <w:rPr>
                <w:rFonts w:hint="eastAsia"/>
                <w:color w:val="auto"/>
                <w:kern w:val="0"/>
                <w:sz w:val="24"/>
              </w:rPr>
              <w:t>。</w:t>
            </w:r>
          </w:p>
          <w:p w14:paraId="367FFE3B">
            <w:pPr>
              <w:keepNext w:val="0"/>
              <w:keepLines w:val="0"/>
              <w:widowControl/>
              <w:suppressLineNumbers w:val="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为切实改善蚌埠市环境空气质量、促进全市空气质量限期达标，结合城市总体规划、国民经济社会发展规划和能源发展规划等实际情况。蚌埠市已制定《蚌埠市环境空气质量达标规划（</w:t>
            </w:r>
            <w:r>
              <w:rPr>
                <w:rFonts w:hint="default" w:ascii="Times New Roman" w:hAnsi="Times New Roman" w:eastAsia="宋体" w:cs="Times New Roman"/>
                <w:color w:val="auto"/>
                <w:kern w:val="0"/>
                <w:sz w:val="24"/>
                <w:szCs w:val="24"/>
                <w:lang w:val="en-US" w:eastAsia="zh-CN" w:bidi="ar"/>
              </w:rPr>
              <w:t>2019—2030</w:t>
            </w:r>
            <w:r>
              <w:rPr>
                <w:rFonts w:hint="eastAsia" w:ascii="宋体" w:hAnsi="宋体" w:eastAsia="宋体" w:cs="宋体"/>
                <w:color w:val="auto"/>
                <w:kern w:val="0"/>
                <w:sz w:val="24"/>
                <w:szCs w:val="24"/>
                <w:lang w:val="en-US" w:eastAsia="zh-CN" w:bidi="ar"/>
              </w:rPr>
              <w:t>年）》。预计到</w:t>
            </w:r>
            <w:r>
              <w:rPr>
                <w:rFonts w:hint="default" w:ascii="Times New Roman" w:hAnsi="Times New Roman" w:eastAsia="宋体" w:cs="Times New Roman"/>
                <w:color w:val="auto"/>
                <w:kern w:val="0"/>
                <w:sz w:val="24"/>
                <w:szCs w:val="24"/>
                <w:lang w:val="en-US" w:eastAsia="zh-CN" w:bidi="ar"/>
              </w:rPr>
              <w:t>2030</w:t>
            </w:r>
            <w:r>
              <w:rPr>
                <w:rFonts w:hint="eastAsia" w:ascii="宋体" w:hAnsi="宋体" w:eastAsia="宋体" w:cs="宋体"/>
                <w:color w:val="auto"/>
                <w:kern w:val="0"/>
                <w:sz w:val="24"/>
                <w:szCs w:val="24"/>
                <w:lang w:val="en-US" w:eastAsia="zh-CN" w:bidi="ar"/>
              </w:rPr>
              <w:t>年，全市空气质量实现达标，</w:t>
            </w:r>
            <w:r>
              <w:rPr>
                <w:rFonts w:hint="default" w:ascii="Times New Roman" w:hAnsi="Times New Roman" w:eastAsia="宋体" w:cs="Times New Roman"/>
                <w:color w:val="auto"/>
                <w:kern w:val="0"/>
                <w:sz w:val="24"/>
                <w:szCs w:val="24"/>
                <w:lang w:val="en-US" w:eastAsia="zh-CN" w:bidi="ar"/>
              </w:rPr>
              <w:t>PM</w:t>
            </w:r>
            <w:r>
              <w:rPr>
                <w:rFonts w:hint="default" w:ascii="Times New Roman" w:hAnsi="Times New Roman" w:eastAsia="宋体" w:cs="Times New Roman"/>
                <w:color w:val="auto"/>
                <w:kern w:val="0"/>
                <w:sz w:val="24"/>
                <w:szCs w:val="24"/>
                <w:vertAlign w:val="subscript"/>
                <w:lang w:val="en-US" w:eastAsia="zh-CN" w:bidi="ar"/>
              </w:rPr>
              <w:t>2.5</w:t>
            </w:r>
            <w:r>
              <w:rPr>
                <w:rFonts w:hint="eastAsia" w:ascii="宋体" w:hAnsi="宋体" w:eastAsia="宋体" w:cs="宋体"/>
                <w:color w:val="auto"/>
                <w:kern w:val="0"/>
                <w:sz w:val="24"/>
                <w:szCs w:val="24"/>
                <w:lang w:val="en-US" w:eastAsia="zh-CN" w:bidi="ar"/>
              </w:rPr>
              <w:t>年均浓度下降至</w:t>
            </w:r>
            <w:r>
              <w:rPr>
                <w:rFonts w:hint="default" w:ascii="Times New Roman" w:hAnsi="Times New Roman" w:eastAsia="宋体" w:cs="Times New Roman"/>
                <w:color w:val="auto"/>
                <w:kern w:val="0"/>
                <w:sz w:val="24"/>
                <w:szCs w:val="24"/>
                <w:lang w:val="en-US" w:eastAsia="zh-CN" w:bidi="ar"/>
              </w:rPr>
              <w:t>35</w:t>
            </w:r>
            <w:r>
              <w:rPr>
                <w:rFonts w:hint="eastAsia" w:ascii="宋体" w:hAnsi="宋体" w:eastAsia="宋体" w:cs="宋体"/>
                <w:color w:val="auto"/>
                <w:kern w:val="0"/>
                <w:sz w:val="24"/>
                <w:szCs w:val="24"/>
                <w:lang w:val="en-US" w:eastAsia="zh-CN" w:bidi="ar"/>
              </w:rPr>
              <w:t>微克</w:t>
            </w:r>
            <w:r>
              <w:rPr>
                <w:rFonts w:hint="default" w:ascii="Times New Roman" w:hAnsi="Times New Roman" w:eastAsia="宋体" w:cs="Times New Roman"/>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立方米以下；</w:t>
            </w:r>
            <w:r>
              <w:rPr>
                <w:rFonts w:hint="default" w:ascii="Times New Roman" w:hAnsi="Times New Roman" w:eastAsia="宋体" w:cs="Times New Roman"/>
                <w:color w:val="auto"/>
                <w:kern w:val="0"/>
                <w:sz w:val="24"/>
                <w:szCs w:val="24"/>
                <w:lang w:val="en-US" w:eastAsia="zh-CN" w:bidi="ar"/>
              </w:rPr>
              <w:t>SO</w:t>
            </w:r>
            <w:r>
              <w:rPr>
                <w:rFonts w:hint="default" w:ascii="Times New Roman" w:hAnsi="Times New Roman" w:eastAsia="宋体" w:cs="Times New Roman"/>
                <w:color w:val="auto"/>
                <w:kern w:val="0"/>
                <w:sz w:val="15"/>
                <w:szCs w:val="15"/>
                <w:lang w:val="en-US" w:eastAsia="zh-CN" w:bidi="ar"/>
              </w:rPr>
              <w:t>2</w:t>
            </w: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NO</w:t>
            </w:r>
            <w:r>
              <w:rPr>
                <w:rFonts w:hint="default" w:ascii="Times New Roman" w:hAnsi="Times New Roman" w:eastAsia="宋体" w:cs="Times New Roman"/>
                <w:color w:val="auto"/>
                <w:kern w:val="0"/>
                <w:sz w:val="15"/>
                <w:szCs w:val="15"/>
                <w:lang w:val="en-US" w:eastAsia="zh-CN" w:bidi="ar"/>
              </w:rPr>
              <w:t>2</w:t>
            </w: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CO</w:t>
            </w: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PM</w:t>
            </w:r>
            <w:r>
              <w:rPr>
                <w:rFonts w:hint="default" w:ascii="Times New Roman" w:hAnsi="Times New Roman" w:eastAsia="宋体" w:cs="Times New Roman"/>
                <w:color w:val="auto"/>
                <w:kern w:val="0"/>
                <w:sz w:val="15"/>
                <w:szCs w:val="15"/>
                <w:lang w:val="en-US" w:eastAsia="zh-CN" w:bidi="ar"/>
              </w:rPr>
              <w:t>10</w:t>
            </w:r>
            <w:r>
              <w:rPr>
                <w:rFonts w:hint="eastAsia" w:ascii="宋体" w:hAnsi="宋体" w:eastAsia="宋体" w:cs="宋体"/>
                <w:color w:val="auto"/>
                <w:kern w:val="0"/>
                <w:sz w:val="24"/>
                <w:szCs w:val="24"/>
                <w:lang w:val="en-US" w:eastAsia="zh-CN" w:bidi="ar"/>
              </w:rPr>
              <w:t>年评价浓度全面稳定达到国家二级标准限值以下；臭氧污染态势得到遏制；全市空气质量优良率达到</w:t>
            </w:r>
            <w:r>
              <w:rPr>
                <w:rFonts w:hint="default" w:ascii="Times New Roman" w:hAnsi="Times New Roman" w:eastAsia="宋体" w:cs="Times New Roman"/>
                <w:color w:val="auto"/>
                <w:kern w:val="0"/>
                <w:sz w:val="24"/>
                <w:szCs w:val="24"/>
                <w:lang w:val="en-US" w:eastAsia="zh-CN" w:bidi="ar"/>
              </w:rPr>
              <w:t>85%</w:t>
            </w:r>
            <w:r>
              <w:rPr>
                <w:rFonts w:hint="eastAsia" w:ascii="宋体" w:hAnsi="宋体" w:eastAsia="宋体" w:cs="宋体"/>
                <w:color w:val="auto"/>
                <w:kern w:val="0"/>
                <w:sz w:val="24"/>
                <w:szCs w:val="24"/>
                <w:lang w:val="en-US" w:eastAsia="zh-CN" w:bidi="ar"/>
              </w:rPr>
              <w:t>及以上。</w:t>
            </w:r>
          </w:p>
          <w:p w14:paraId="2EDAB4AB">
            <w:pPr>
              <w:spacing w:line="360" w:lineRule="auto"/>
              <w:ind w:firstLine="480" w:firstLineChars="200"/>
              <w:contextualSpacing/>
              <w:rPr>
                <w:rFonts w:hint="eastAsia"/>
                <w:i w:val="0"/>
                <w:iCs w:val="0"/>
                <w:kern w:val="0"/>
                <w:sz w:val="24"/>
                <w:highlight w:val="none"/>
              </w:rPr>
            </w:pPr>
            <w:r>
              <w:rPr>
                <w:rFonts w:hint="eastAsia"/>
                <w:i w:val="0"/>
                <w:iCs w:val="0"/>
                <w:kern w:val="0"/>
                <w:sz w:val="24"/>
                <w:highlight w:val="none"/>
              </w:rPr>
              <w:t>（2）特征污染物</w:t>
            </w:r>
          </w:p>
          <w:p w14:paraId="5ADF9711">
            <w:pPr>
              <w:spacing w:line="360" w:lineRule="auto"/>
              <w:ind w:firstLine="480" w:firstLineChars="200"/>
              <w:contextualSpacing/>
              <w:rPr>
                <w:rFonts w:hint="eastAsia"/>
                <w:kern w:val="0"/>
                <w:sz w:val="24"/>
              </w:rPr>
            </w:pPr>
            <w:r>
              <w:rPr>
                <w:rFonts w:hint="eastAsia"/>
                <w:kern w:val="0"/>
                <w:sz w:val="24"/>
                <w:lang w:eastAsia="zh-CN"/>
              </w:rPr>
              <w:t>本项目</w:t>
            </w:r>
            <w:r>
              <w:rPr>
                <w:rFonts w:hint="eastAsia"/>
                <w:kern w:val="0"/>
                <w:sz w:val="24"/>
              </w:rPr>
              <w:t>特征因子</w:t>
            </w:r>
            <w:r>
              <w:rPr>
                <w:rFonts w:hint="eastAsia"/>
                <w:kern w:val="0"/>
                <w:sz w:val="24"/>
                <w:lang w:eastAsia="zh-CN"/>
              </w:rPr>
              <w:t>为</w:t>
            </w:r>
            <w:r>
              <w:rPr>
                <w:rFonts w:hint="eastAsia"/>
                <w:kern w:val="0"/>
                <w:sz w:val="24"/>
              </w:rPr>
              <w:t>TSP、非甲烷总烃。其中TSP引用《蚌埠中建材信息显示材料有限公司150t/d电子信息显示超薄基板生产线冷修技改项目》中龙子湖风景名胜区点位监测数据。监测时间为2025年4月13日至2025年4月21日</w:t>
            </w:r>
            <w:r>
              <w:rPr>
                <w:rFonts w:hint="eastAsia"/>
                <w:kern w:val="0"/>
                <w:sz w:val="24"/>
                <w:lang w:eastAsia="zh-CN"/>
              </w:rPr>
              <w:t>；</w:t>
            </w:r>
            <w:r>
              <w:rPr>
                <w:rFonts w:hint="eastAsia"/>
                <w:kern w:val="0"/>
                <w:sz w:val="24"/>
              </w:rPr>
              <w:t>非甲烷总烃引用《安徽蚌埠经济开发区环境影响区域评估报告（2024版）》中蚌埠比亚迪产业园点位监测数据，监测时间为2024年10月20日至2024年10月26日。</w:t>
            </w:r>
          </w:p>
          <w:p w14:paraId="67FDB415">
            <w:pPr>
              <w:spacing w:line="360" w:lineRule="auto"/>
              <w:ind w:firstLine="480" w:firstLineChars="200"/>
              <w:contextualSpacing/>
              <w:rPr>
                <w:rFonts w:hint="eastAsia"/>
                <w:kern w:val="0"/>
                <w:sz w:val="24"/>
              </w:rPr>
            </w:pPr>
            <w:r>
              <w:rPr>
                <w:rFonts w:hint="eastAsia"/>
                <w:kern w:val="0"/>
                <w:sz w:val="24"/>
              </w:rPr>
              <w:t>引用监测数据为评价范围内近3年监测数据，满足《环境影响评价技术导则 大气环境》(HJ2.2-2018) 中其他污染物环境质量现状数据“可收集评价范围内近3年与项目排放的其他污染物有关的历史监测资料”的要求。</w:t>
            </w:r>
          </w:p>
          <w:p w14:paraId="09D39B73">
            <w:pPr>
              <w:spacing w:line="360" w:lineRule="auto"/>
              <w:ind w:firstLine="480" w:firstLineChars="200"/>
              <w:contextualSpacing/>
              <w:rPr>
                <w:rFonts w:hint="eastAsia"/>
                <w:kern w:val="0"/>
                <w:sz w:val="24"/>
              </w:rPr>
            </w:pPr>
            <w:r>
              <w:rPr>
                <w:rFonts w:hint="eastAsia"/>
                <w:kern w:val="0"/>
                <w:sz w:val="24"/>
              </w:rPr>
              <w:t>具体点位设置见下图、下表。</w:t>
            </w:r>
          </w:p>
          <w:p w14:paraId="35767E6B">
            <w:pPr>
              <w:spacing w:line="240" w:lineRule="auto"/>
              <w:ind w:firstLine="0" w:firstLineChars="0"/>
              <w:contextualSpacing/>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表3-2  引用监测点位、补充监测点位基本信息表</w:t>
            </w:r>
          </w:p>
          <w:tbl>
            <w:tblPr>
              <w:tblStyle w:val="25"/>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28" w:type="dxa"/>
                <w:left w:w="51" w:type="dxa"/>
                <w:bottom w:w="28" w:type="dxa"/>
                <w:right w:w="51" w:type="dxa"/>
              </w:tblCellMar>
            </w:tblPr>
            <w:tblGrid>
              <w:gridCol w:w="1810"/>
              <w:gridCol w:w="1185"/>
              <w:gridCol w:w="1373"/>
              <w:gridCol w:w="1534"/>
              <w:gridCol w:w="1922"/>
            </w:tblGrid>
            <w:tr w14:paraId="1057FA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jc w:val="center"/>
              </w:trPr>
              <w:tc>
                <w:tcPr>
                  <w:tcW w:w="1156" w:type="pct"/>
                  <w:tcMar>
                    <w:left w:w="0" w:type="dxa"/>
                    <w:right w:w="0" w:type="dxa"/>
                  </w:tcMar>
                  <w:vAlign w:val="center"/>
                </w:tcPr>
                <w:p w14:paraId="713A1F5B">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点位名称</w:t>
                  </w:r>
                </w:p>
              </w:tc>
              <w:tc>
                <w:tcPr>
                  <w:tcW w:w="757" w:type="pct"/>
                  <w:tcMar>
                    <w:left w:w="0" w:type="dxa"/>
                    <w:right w:w="0" w:type="dxa"/>
                  </w:tcMar>
                  <w:vAlign w:val="center"/>
                </w:tcPr>
                <w:p w14:paraId="1B24F887">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监测因子</w:t>
                  </w:r>
                </w:p>
              </w:tc>
              <w:tc>
                <w:tcPr>
                  <w:tcW w:w="877" w:type="pct"/>
                  <w:tcMar>
                    <w:left w:w="0" w:type="dxa"/>
                    <w:right w:w="0" w:type="dxa"/>
                  </w:tcMar>
                  <w:vAlign w:val="center"/>
                </w:tcPr>
                <w:p w14:paraId="71BA8BB3">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监测频次</w:t>
                  </w:r>
                </w:p>
              </w:tc>
              <w:tc>
                <w:tcPr>
                  <w:tcW w:w="980" w:type="pct"/>
                  <w:vAlign w:val="center"/>
                </w:tcPr>
                <w:p w14:paraId="43C02DFE">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相对厂址方位</w:t>
                  </w:r>
                </w:p>
              </w:tc>
              <w:tc>
                <w:tcPr>
                  <w:tcW w:w="1227" w:type="pct"/>
                  <w:vAlign w:val="center"/>
                </w:tcPr>
                <w:p w14:paraId="16C1A864">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相对厂址距离（m）</w:t>
                  </w:r>
                </w:p>
              </w:tc>
            </w:tr>
            <w:tr w14:paraId="3EF6562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jc w:val="center"/>
              </w:trPr>
              <w:tc>
                <w:tcPr>
                  <w:tcW w:w="1156" w:type="pct"/>
                  <w:tcMar>
                    <w:left w:w="0" w:type="dxa"/>
                    <w:right w:w="0" w:type="dxa"/>
                  </w:tcMar>
                  <w:vAlign w:val="center"/>
                </w:tcPr>
                <w:p w14:paraId="02B42EAE">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龙子湖风景名胜区</w:t>
                  </w:r>
                </w:p>
              </w:tc>
              <w:tc>
                <w:tcPr>
                  <w:tcW w:w="757" w:type="pct"/>
                  <w:tcMar>
                    <w:left w:w="0" w:type="dxa"/>
                    <w:right w:w="0" w:type="dxa"/>
                  </w:tcMar>
                  <w:vAlign w:val="center"/>
                </w:tcPr>
                <w:p w14:paraId="1F5DA617">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TSP</w:t>
                  </w:r>
                </w:p>
              </w:tc>
              <w:tc>
                <w:tcPr>
                  <w:tcW w:w="877" w:type="pct"/>
                  <w:vMerge w:val="restart"/>
                  <w:tcMar>
                    <w:left w:w="0" w:type="dxa"/>
                    <w:right w:w="0" w:type="dxa"/>
                  </w:tcMar>
                  <w:vAlign w:val="center"/>
                </w:tcPr>
                <w:p w14:paraId="2F7B567B">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连续7天</w:t>
                  </w:r>
                </w:p>
              </w:tc>
              <w:tc>
                <w:tcPr>
                  <w:tcW w:w="980" w:type="pct"/>
                  <w:vAlign w:val="center"/>
                </w:tcPr>
                <w:p w14:paraId="355C006D">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SW</w:t>
                  </w:r>
                </w:p>
              </w:tc>
              <w:tc>
                <w:tcPr>
                  <w:tcW w:w="1227" w:type="pct"/>
                  <w:vAlign w:val="center"/>
                </w:tcPr>
                <w:p w14:paraId="133C217B">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1070</w:t>
                  </w:r>
                </w:p>
              </w:tc>
            </w:tr>
            <w:tr w14:paraId="6FBFB6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jc w:val="center"/>
              </w:trPr>
              <w:tc>
                <w:tcPr>
                  <w:tcW w:w="1156" w:type="pct"/>
                  <w:tcMar>
                    <w:left w:w="0" w:type="dxa"/>
                    <w:right w:w="0" w:type="dxa"/>
                  </w:tcMar>
                  <w:vAlign w:val="center"/>
                </w:tcPr>
                <w:p w14:paraId="221BC82A">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比亚迪产业园</w:t>
                  </w:r>
                </w:p>
              </w:tc>
              <w:tc>
                <w:tcPr>
                  <w:tcW w:w="757" w:type="pct"/>
                  <w:tcMar>
                    <w:left w:w="0" w:type="dxa"/>
                    <w:right w:w="0" w:type="dxa"/>
                  </w:tcMar>
                  <w:vAlign w:val="center"/>
                </w:tcPr>
                <w:p w14:paraId="635B5288">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非甲烷总烃</w:t>
                  </w:r>
                </w:p>
              </w:tc>
              <w:tc>
                <w:tcPr>
                  <w:tcW w:w="877" w:type="pct"/>
                  <w:vMerge w:val="continue"/>
                  <w:tcMar>
                    <w:left w:w="0" w:type="dxa"/>
                    <w:right w:w="0" w:type="dxa"/>
                  </w:tcMar>
                  <w:vAlign w:val="center"/>
                </w:tcPr>
                <w:p w14:paraId="3839B1DB">
                  <w:pPr>
                    <w:pStyle w:val="53"/>
                    <w:spacing w:line="240" w:lineRule="auto"/>
                    <w:ind w:firstLine="0" w:firstLineChars="0"/>
                    <w:contextualSpacing/>
                    <w:jc w:val="center"/>
                    <w:rPr>
                      <w:rFonts w:hint="eastAsia" w:cs="Times New Roman"/>
                      <w:color w:val="auto"/>
                      <w:szCs w:val="21"/>
                      <w:lang w:val="en-US" w:eastAsia="zh-CN"/>
                    </w:rPr>
                  </w:pPr>
                </w:p>
              </w:tc>
              <w:tc>
                <w:tcPr>
                  <w:tcW w:w="980" w:type="pct"/>
                  <w:vAlign w:val="center"/>
                </w:tcPr>
                <w:p w14:paraId="3B660478">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NE</w:t>
                  </w:r>
                </w:p>
              </w:tc>
              <w:tc>
                <w:tcPr>
                  <w:tcW w:w="1227" w:type="pct"/>
                  <w:vAlign w:val="center"/>
                </w:tcPr>
                <w:p w14:paraId="244F3C5C">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1455</w:t>
                  </w:r>
                </w:p>
              </w:tc>
            </w:tr>
          </w:tbl>
          <w:p w14:paraId="60984A21">
            <w:pPr>
              <w:spacing w:line="360" w:lineRule="auto"/>
              <w:ind w:left="0" w:leftChars="0" w:firstLine="0" w:firstLineChars="0"/>
              <w:contextualSpacing/>
              <w:rPr>
                <w:rFonts w:hint="eastAsia"/>
                <w:kern w:val="0"/>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1207135</wp:posOffset>
                      </wp:positionH>
                      <wp:positionV relativeFrom="paragraph">
                        <wp:posOffset>2379980</wp:posOffset>
                      </wp:positionV>
                      <wp:extent cx="951230" cy="33845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951230" cy="3384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B9D663">
                                  <w:pPr>
                                    <w:rPr>
                                      <w:rFonts w:hint="default" w:eastAsia="宋体"/>
                                      <w:color w:val="FFFF00"/>
                                      <w:sz w:val="22"/>
                                      <w:szCs w:val="22"/>
                                      <w:lang w:val="en-US" w:eastAsia="zh-CN"/>
                                    </w:rPr>
                                  </w:pPr>
                                  <w:r>
                                    <w:rPr>
                                      <w:rFonts w:hint="eastAsia"/>
                                      <w:color w:val="FFFF00"/>
                                      <w:sz w:val="22"/>
                                      <w:szCs w:val="22"/>
                                      <w:lang w:val="en-US" w:eastAsia="zh-CN"/>
                                    </w:rPr>
                                    <w:t>1070m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05pt;margin-top:187.4pt;height:26.65pt;width:74.9pt;z-index:251662336;mso-width-relative:page;mso-height-relative:page;" filled="f" stroked="f" coordsize="21600,21600" o:gfxdata="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EVJ6KnbAAAACwEAAA8AAAAAAAAAAQAgAAAAIgAAAGRy&#10;cy9kb3ducmV2LnhtbFBLAQIUABQAAAAIAIdO4kC3m7zVOwIAAGcEAAAOAAAAAAAAAAEAIAAAACoB&#10;AABkcnMvZTJvRG9jLnhtbFBLBQYAAAAABgAGAFkBAADXBQAAAAA=&#10;">
                      <v:fill on="f" focussize="0,0"/>
                      <v:stroke on="f" weight="0.5pt"/>
                      <v:imagedata o:title=""/>
                      <o:lock v:ext="edit" aspectratio="f"/>
                      <v:textbox>
                        <w:txbxContent>
                          <w:p w14:paraId="39B9D663">
                            <w:pPr>
                              <w:rPr>
                                <w:rFonts w:hint="default" w:eastAsia="宋体"/>
                                <w:color w:val="FFFF00"/>
                                <w:sz w:val="22"/>
                                <w:szCs w:val="22"/>
                                <w:lang w:val="en-US" w:eastAsia="zh-CN"/>
                              </w:rPr>
                            </w:pPr>
                            <w:r>
                              <w:rPr>
                                <w:rFonts w:hint="eastAsia"/>
                                <w:color w:val="FFFF00"/>
                                <w:sz w:val="22"/>
                                <w:szCs w:val="22"/>
                                <w:lang w:val="en-US" w:eastAsia="zh-CN"/>
                              </w:rPr>
                              <w:t>1070m</w:t>
                            </w: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2292985</wp:posOffset>
                      </wp:positionH>
                      <wp:positionV relativeFrom="paragraph">
                        <wp:posOffset>1301115</wp:posOffset>
                      </wp:positionV>
                      <wp:extent cx="951230" cy="338455"/>
                      <wp:effectExtent l="0" t="0" r="0" b="0"/>
                      <wp:wrapNone/>
                      <wp:docPr id="20" name="文本框 20"/>
                      <wp:cNvGraphicFramePr/>
                      <a:graphic xmlns:a="http://schemas.openxmlformats.org/drawingml/2006/main">
                        <a:graphicData uri="http://schemas.microsoft.com/office/word/2010/wordprocessingShape">
                          <wps:wsp>
                            <wps:cNvSpPr txBox="1"/>
                            <wps:spPr>
                              <a:xfrm>
                                <a:off x="3983355" y="4939665"/>
                                <a:ext cx="951230" cy="3384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AF32D">
                                  <w:pPr>
                                    <w:rPr>
                                      <w:rFonts w:hint="default" w:eastAsia="宋体"/>
                                      <w:color w:val="FFFF00"/>
                                      <w:sz w:val="22"/>
                                      <w:szCs w:val="22"/>
                                      <w:lang w:val="en-US" w:eastAsia="zh-CN"/>
                                    </w:rPr>
                                  </w:pPr>
                                  <w:r>
                                    <w:rPr>
                                      <w:rFonts w:hint="eastAsia"/>
                                      <w:color w:val="FFFF00"/>
                                      <w:sz w:val="22"/>
                                      <w:szCs w:val="22"/>
                                      <w:lang w:val="en-US" w:eastAsia="zh-CN"/>
                                    </w:rPr>
                                    <w:t>1455m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0.55pt;margin-top:102.45pt;height:26.65pt;width:74.9pt;z-index:251661312;mso-width-relative:page;mso-height-relative:page;" filled="f" stroked="f" coordsize="21600,21600" o:gfxdata="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tb/LtdsAAAALAQAADwAAAAAA&#10;AAABACAAAAAiAAAAZHJzL2Rvd25yZXYueG1sUEsBAhQAFAAAAAgAh07iQH38cXVJAgAAcwQAAA4A&#10;AAAAAAAAAQAgAAAAKgEAAGRycy9lMm9Eb2MueG1sUEsFBgAAAAAGAAYAWQEAAOUFAAAAAA==&#10;">
                      <v:fill on="f" focussize="0,0"/>
                      <v:stroke on="f" weight="0.5pt"/>
                      <v:imagedata o:title=""/>
                      <o:lock v:ext="edit" aspectratio="f"/>
                      <v:textbox>
                        <w:txbxContent>
                          <w:p w14:paraId="188AF32D">
                            <w:pPr>
                              <w:rPr>
                                <w:rFonts w:hint="default" w:eastAsia="宋体"/>
                                <w:color w:val="FFFF00"/>
                                <w:sz w:val="22"/>
                                <w:szCs w:val="22"/>
                                <w:lang w:val="en-US" w:eastAsia="zh-CN"/>
                              </w:rPr>
                            </w:pPr>
                            <w:r>
                              <w:rPr>
                                <w:rFonts w:hint="eastAsia"/>
                                <w:color w:val="FFFF00"/>
                                <w:sz w:val="22"/>
                                <w:szCs w:val="22"/>
                                <w:lang w:val="en-US" w:eastAsia="zh-CN"/>
                              </w:rPr>
                              <w:t>1455m</w:t>
                            </w:r>
                          </w:p>
                        </w:txbxContent>
                      </v:textbox>
                    </v:shape>
                  </w:pict>
                </mc:Fallback>
              </mc:AlternateContent>
            </w:r>
            <w:r>
              <w:drawing>
                <wp:inline distT="0" distB="0" distL="114300" distR="114300">
                  <wp:extent cx="5022215" cy="4123055"/>
                  <wp:effectExtent l="0" t="0" r="6985" b="1079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27"/>
                          <a:stretch>
                            <a:fillRect/>
                          </a:stretch>
                        </pic:blipFill>
                        <pic:spPr>
                          <a:xfrm>
                            <a:off x="0" y="0"/>
                            <a:ext cx="5022215" cy="4123055"/>
                          </a:xfrm>
                          <a:prstGeom prst="rect">
                            <a:avLst/>
                          </a:prstGeom>
                          <a:noFill/>
                          <a:ln>
                            <a:noFill/>
                          </a:ln>
                        </pic:spPr>
                      </pic:pic>
                    </a:graphicData>
                  </a:graphic>
                </wp:inline>
              </w:drawing>
            </w:r>
            <w:r>
              <w:rPr>
                <w:sz w:val="24"/>
              </w:rPr>
              <mc:AlternateContent>
                <mc:Choice Requires="wps">
                  <w:drawing>
                    <wp:anchor distT="0" distB="0" distL="114300" distR="114300" simplePos="0" relativeHeight="251660288" behindDoc="0" locked="0" layoutInCell="1" allowOverlap="1">
                      <wp:simplePos x="0" y="0"/>
                      <wp:positionH relativeFrom="column">
                        <wp:posOffset>1313815</wp:posOffset>
                      </wp:positionH>
                      <wp:positionV relativeFrom="paragraph">
                        <wp:posOffset>1811020</wp:posOffset>
                      </wp:positionV>
                      <wp:extent cx="528320" cy="1160145"/>
                      <wp:effectExtent l="10160" t="2540" r="13970" b="18415"/>
                      <wp:wrapNone/>
                      <wp:docPr id="6" name="直接箭头连接符 6"/>
                      <wp:cNvGraphicFramePr/>
                      <a:graphic xmlns:a="http://schemas.openxmlformats.org/drawingml/2006/main">
                        <a:graphicData uri="http://schemas.microsoft.com/office/word/2010/wordprocessingShape">
                          <wps:wsp>
                            <wps:cNvCnPr/>
                            <wps:spPr>
                              <a:xfrm flipH="1">
                                <a:off x="3273425" y="5433060"/>
                                <a:ext cx="528320" cy="116014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03.45pt;margin-top:142.6pt;height:91.35pt;width:41.6pt;z-index:251660288;mso-width-relative:page;mso-height-relative:page;" filled="f" stroked="t" coordsize="21600,21600" o:gfxdata="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eBw+/Y&#10;AAAACwEAAA8AAAAAAAAAAQAgAAAAIgAAAGRycy9kb3ducmV2LnhtbFBLAQIUABQAAAAIAIdO4kDK&#10;I47iIAIAAPoDAAAOAAAAAAAAAAEAIAAAACcBAABkcnMvZTJvRG9jLnhtbFBLBQYAAAAABgAGAFkB&#10;AAC5BQAAAAA=&#10;">
                      <v:fill on="f" focussize="0,0"/>
                      <v:stroke weight="1pt" color="#FFFF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1911350</wp:posOffset>
                      </wp:positionH>
                      <wp:positionV relativeFrom="paragraph">
                        <wp:posOffset>1170305</wp:posOffset>
                      </wp:positionV>
                      <wp:extent cx="1419860" cy="597535"/>
                      <wp:effectExtent l="2540" t="12700" r="6350" b="18415"/>
                      <wp:wrapNone/>
                      <wp:docPr id="4" name="直接箭头连接符 4"/>
                      <wp:cNvGraphicFramePr/>
                      <a:graphic xmlns:a="http://schemas.openxmlformats.org/drawingml/2006/main">
                        <a:graphicData uri="http://schemas.microsoft.com/office/word/2010/wordprocessingShape">
                          <wps:wsp>
                            <wps:cNvCnPr/>
                            <wps:spPr>
                              <a:xfrm flipV="1">
                                <a:off x="3342640" y="4792345"/>
                                <a:ext cx="1419860" cy="59753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50.5pt;margin-top:92.15pt;height:47.05pt;width:111.8pt;z-index:251659264;mso-width-relative:page;mso-height-relative:page;" filled="f" stroked="t" coordsize="21600,21600" o:gfxdata="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6AvhTXAAAA&#10;CwEAAA8AAAAAAAAAAQAgAAAAIgAAAGRycy9kb3ducmV2LnhtbFBLAQIUABQAAAAIAIdO4kAwMvVz&#10;HgIAAPoDAAAOAAAAAAAAAAEAIAAAACYBAABkcnMvZTJvRG9jLnhtbFBLBQYAAAAABgAGAFkBAAC2&#10;BQAAAAA=&#10;">
                      <v:fill on="f" focussize="0,0"/>
                      <v:stroke weight="1pt" color="#FFFF00 [3204]" miterlimit="8" joinstyle="miter" endarrow="open"/>
                      <v:imagedata o:title=""/>
                      <o:lock v:ext="edit" aspectratio="f"/>
                    </v:shape>
                  </w:pict>
                </mc:Fallback>
              </mc:AlternateContent>
            </w:r>
          </w:p>
          <w:p w14:paraId="5198B091">
            <w:pPr>
              <w:autoSpaceDE w:val="0"/>
              <w:autoSpaceDN w:val="0"/>
              <w:spacing w:line="240" w:lineRule="auto"/>
              <w:ind w:firstLine="0" w:firstLineChars="0"/>
              <w:contextualSpacing/>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图</w:t>
            </w:r>
            <w:r>
              <w:rPr>
                <w:rFonts w:hint="eastAsia" w:cs="Times New Roman"/>
                <w:b/>
                <w:bCs/>
                <w:color w:val="auto"/>
                <w:sz w:val="21"/>
                <w:lang w:val="en-US" w:eastAsia="zh-CN"/>
              </w:rPr>
              <w:t>3-1</w:t>
            </w:r>
            <w:r>
              <w:rPr>
                <w:rFonts w:hint="eastAsia" w:ascii="Times New Roman" w:hAnsi="Times New Roman" w:eastAsia="宋体" w:cs="Times New Roman"/>
                <w:b/>
                <w:bCs/>
                <w:color w:val="auto"/>
                <w:sz w:val="21"/>
                <w:lang w:val="en-US" w:eastAsia="zh-CN"/>
              </w:rPr>
              <w:t xml:space="preserve">  </w:t>
            </w:r>
            <w:r>
              <w:rPr>
                <w:rFonts w:hint="eastAsia" w:cs="Times New Roman"/>
                <w:b/>
                <w:bCs/>
                <w:color w:val="auto"/>
                <w:sz w:val="21"/>
                <w:lang w:val="en-US" w:eastAsia="zh-CN"/>
              </w:rPr>
              <w:t>引用监测点位</w:t>
            </w:r>
            <w:r>
              <w:rPr>
                <w:rFonts w:hint="default" w:ascii="Times New Roman" w:hAnsi="Times New Roman" w:eastAsia="宋体" w:cs="Times New Roman"/>
                <w:b/>
                <w:bCs/>
                <w:color w:val="auto"/>
                <w:sz w:val="21"/>
                <w:lang w:val="en-US" w:eastAsia="zh-CN"/>
              </w:rPr>
              <w:t>图</w:t>
            </w:r>
          </w:p>
          <w:p w14:paraId="0A428BEE">
            <w:pPr>
              <w:spacing w:line="360" w:lineRule="auto"/>
              <w:ind w:firstLine="480" w:firstLineChars="200"/>
              <w:contextualSpacing/>
              <w:rPr>
                <w:rFonts w:hint="eastAsia"/>
                <w:kern w:val="0"/>
                <w:sz w:val="24"/>
              </w:rPr>
            </w:pPr>
            <w:r>
              <w:rPr>
                <w:rFonts w:hint="eastAsia"/>
                <w:kern w:val="0"/>
                <w:sz w:val="24"/>
              </w:rPr>
              <w:t>2、监测时间和频次：</w:t>
            </w:r>
          </w:p>
          <w:p w14:paraId="1B440908">
            <w:pPr>
              <w:spacing w:line="360" w:lineRule="auto"/>
              <w:ind w:firstLine="480" w:firstLineChars="200"/>
              <w:contextualSpacing/>
              <w:rPr>
                <w:rFonts w:hint="eastAsia"/>
                <w:kern w:val="0"/>
                <w:sz w:val="24"/>
              </w:rPr>
            </w:pPr>
            <w:r>
              <w:rPr>
                <w:rFonts w:hint="eastAsia"/>
                <w:kern w:val="0"/>
                <w:sz w:val="24"/>
              </w:rPr>
              <w:t>连续监测7天，监测因子采样根据相应规范进行。同时记录风速、风向、气温、气压和天气状况。</w:t>
            </w:r>
          </w:p>
          <w:p w14:paraId="3525B005">
            <w:pPr>
              <w:spacing w:line="360" w:lineRule="auto"/>
              <w:ind w:firstLine="480" w:firstLineChars="200"/>
              <w:contextualSpacing/>
              <w:rPr>
                <w:rFonts w:hint="eastAsia"/>
                <w:kern w:val="0"/>
                <w:sz w:val="24"/>
              </w:rPr>
            </w:pPr>
            <w:r>
              <w:rPr>
                <w:rFonts w:hint="eastAsia"/>
                <w:kern w:val="0"/>
                <w:sz w:val="24"/>
              </w:rPr>
              <w:t>3、监测方法</w:t>
            </w:r>
          </w:p>
          <w:p w14:paraId="60636B51">
            <w:pPr>
              <w:spacing w:line="360" w:lineRule="auto"/>
              <w:ind w:firstLine="480" w:firstLineChars="200"/>
              <w:contextualSpacing/>
              <w:rPr>
                <w:rFonts w:hint="eastAsia"/>
                <w:kern w:val="0"/>
                <w:sz w:val="24"/>
              </w:rPr>
            </w:pPr>
            <w:r>
              <w:rPr>
                <w:rFonts w:hint="eastAsia"/>
                <w:kern w:val="0"/>
                <w:sz w:val="24"/>
              </w:rPr>
              <w:t>采样和监测方法按照《环境监测技术规范（大气和废气部分）》要求进行，分析方法按《环境空气质量标准》中推荐的方法进行。</w:t>
            </w:r>
          </w:p>
          <w:p w14:paraId="3EE9E320">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5、评价标准和方法</w:t>
            </w:r>
          </w:p>
          <w:p w14:paraId="37A06EE6">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（1）评价标准</w:t>
            </w:r>
          </w:p>
          <w:p w14:paraId="11FC2E4C">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非甲烷总烃参照《大气污染物综合排放标准详解》中相关规定。具体标准值如下表。</w:t>
            </w:r>
          </w:p>
          <w:p w14:paraId="4EDEFE17">
            <w:pPr>
              <w:spacing w:line="240" w:lineRule="auto"/>
              <w:ind w:firstLine="0" w:firstLineChars="0"/>
              <w:contextualSpacing/>
              <w:jc w:val="center"/>
              <w:rPr>
                <w:rFonts w:ascii="Times New Roman" w:hAnsi="Times New Roman" w:eastAsia="宋体" w:cs="Times New Roman"/>
                <w:b/>
                <w:kern w:val="0"/>
                <w:sz w:val="24"/>
                <w:szCs w:val="21"/>
              </w:rPr>
            </w:pPr>
            <w:r>
              <w:rPr>
                <w:rFonts w:hint="eastAsia" w:ascii="Times New Roman" w:hAnsi="Times New Roman" w:eastAsia="宋体" w:cs="Times New Roman"/>
                <w:b/>
                <w:bCs/>
                <w:color w:val="auto"/>
                <w:sz w:val="21"/>
                <w:szCs w:val="21"/>
                <w:lang w:val="en-US" w:eastAsia="zh-CN"/>
              </w:rPr>
              <w:t>表3-3  环境空气质量现状监测因子执行标准一览表</w:t>
            </w:r>
          </w:p>
          <w:tbl>
            <w:tblPr>
              <w:tblStyle w:val="25"/>
              <w:tblW w:w="4992"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28" w:type="dxa"/>
                <w:left w:w="51" w:type="dxa"/>
                <w:bottom w:w="28" w:type="dxa"/>
                <w:right w:w="51" w:type="dxa"/>
              </w:tblCellMar>
            </w:tblPr>
            <w:tblGrid>
              <w:gridCol w:w="478"/>
              <w:gridCol w:w="1123"/>
              <w:gridCol w:w="3805"/>
              <w:gridCol w:w="1473"/>
              <w:gridCol w:w="935"/>
            </w:tblGrid>
            <w:tr w14:paraId="427477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trHeight w:val="340" w:hRule="atLeast"/>
                <w:jc w:val="center"/>
              </w:trPr>
              <w:tc>
                <w:tcPr>
                  <w:tcW w:w="306" w:type="pct"/>
                  <w:tcMar>
                    <w:left w:w="0" w:type="dxa"/>
                    <w:right w:w="0" w:type="dxa"/>
                  </w:tcMar>
                  <w:vAlign w:val="center"/>
                </w:tcPr>
                <w:p w14:paraId="67F34544">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序号</w:t>
                  </w:r>
                </w:p>
              </w:tc>
              <w:tc>
                <w:tcPr>
                  <w:tcW w:w="718" w:type="pct"/>
                  <w:tcMar>
                    <w:left w:w="0" w:type="dxa"/>
                    <w:right w:w="0" w:type="dxa"/>
                  </w:tcMar>
                  <w:vAlign w:val="center"/>
                </w:tcPr>
                <w:p w14:paraId="13B7A78F">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监测因子</w:t>
                  </w:r>
                </w:p>
              </w:tc>
              <w:tc>
                <w:tcPr>
                  <w:tcW w:w="2434" w:type="pct"/>
                  <w:tcMar>
                    <w:left w:w="0" w:type="dxa"/>
                    <w:right w:w="0" w:type="dxa"/>
                  </w:tcMar>
                  <w:vAlign w:val="center"/>
                </w:tcPr>
                <w:p w14:paraId="1BA99D62">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执行标准</w:t>
                  </w:r>
                </w:p>
              </w:tc>
              <w:tc>
                <w:tcPr>
                  <w:tcW w:w="1540" w:type="pct"/>
                  <w:gridSpan w:val="2"/>
                  <w:vAlign w:val="center"/>
                </w:tcPr>
                <w:p w14:paraId="06EC21F5">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标准值μg/m</w:t>
                  </w:r>
                  <w:r>
                    <w:rPr>
                      <w:rFonts w:hint="eastAsia" w:cs="Times New Roman"/>
                      <w:b/>
                      <w:bCs/>
                      <w:color w:val="auto"/>
                      <w:szCs w:val="21"/>
                      <w:vertAlign w:val="superscript"/>
                      <w:lang w:val="en-US" w:eastAsia="zh-CN"/>
                    </w:rPr>
                    <w:t>3</w:t>
                  </w:r>
                </w:p>
              </w:tc>
            </w:tr>
            <w:tr w14:paraId="7BDE8B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trHeight w:val="340" w:hRule="atLeast"/>
                <w:jc w:val="center"/>
              </w:trPr>
              <w:tc>
                <w:tcPr>
                  <w:tcW w:w="306" w:type="pct"/>
                  <w:vMerge w:val="restart"/>
                  <w:tcMar>
                    <w:left w:w="0" w:type="dxa"/>
                    <w:right w:w="0" w:type="dxa"/>
                  </w:tcMar>
                  <w:vAlign w:val="center"/>
                </w:tcPr>
                <w:p w14:paraId="681F66F7">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1</w:t>
                  </w:r>
                </w:p>
              </w:tc>
              <w:tc>
                <w:tcPr>
                  <w:tcW w:w="718" w:type="pct"/>
                  <w:vMerge w:val="restart"/>
                  <w:tcMar>
                    <w:left w:w="0" w:type="dxa"/>
                    <w:right w:w="0" w:type="dxa"/>
                  </w:tcMar>
                  <w:vAlign w:val="center"/>
                </w:tcPr>
                <w:p w14:paraId="643280BD">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TSP</w:t>
                  </w:r>
                </w:p>
              </w:tc>
              <w:tc>
                <w:tcPr>
                  <w:tcW w:w="2434" w:type="pct"/>
                  <w:vMerge w:val="restart"/>
                  <w:tcMar>
                    <w:left w:w="0" w:type="dxa"/>
                    <w:right w:w="0" w:type="dxa"/>
                  </w:tcMar>
                  <w:vAlign w:val="center"/>
                </w:tcPr>
                <w:p w14:paraId="1895170E">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《环境空气质量标准》（GB3095-2026）表2二级浓度限值</w:t>
                  </w:r>
                </w:p>
              </w:tc>
              <w:tc>
                <w:tcPr>
                  <w:tcW w:w="942" w:type="pct"/>
                  <w:vAlign w:val="center"/>
                </w:tcPr>
                <w:p w14:paraId="481BB9EE">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年平均</w:t>
                  </w:r>
                </w:p>
              </w:tc>
              <w:tc>
                <w:tcPr>
                  <w:tcW w:w="597" w:type="pct"/>
                  <w:vAlign w:val="center"/>
                </w:tcPr>
                <w:p w14:paraId="5B95B337">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200</w:t>
                  </w:r>
                </w:p>
              </w:tc>
            </w:tr>
            <w:tr w14:paraId="3DDAA7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trHeight w:val="340" w:hRule="atLeast"/>
                <w:jc w:val="center"/>
              </w:trPr>
              <w:tc>
                <w:tcPr>
                  <w:tcW w:w="306" w:type="pct"/>
                  <w:vMerge w:val="continue"/>
                  <w:tcMar>
                    <w:left w:w="0" w:type="dxa"/>
                    <w:right w:w="0" w:type="dxa"/>
                  </w:tcMar>
                  <w:vAlign w:val="center"/>
                </w:tcPr>
                <w:p w14:paraId="6DCDB43E">
                  <w:pPr>
                    <w:pStyle w:val="53"/>
                    <w:spacing w:line="240" w:lineRule="auto"/>
                    <w:ind w:firstLine="0" w:firstLineChars="0"/>
                    <w:contextualSpacing/>
                    <w:jc w:val="center"/>
                    <w:rPr>
                      <w:rFonts w:hint="eastAsia" w:cs="Times New Roman"/>
                      <w:color w:val="auto"/>
                      <w:szCs w:val="21"/>
                      <w:lang w:val="en-US" w:eastAsia="zh-CN"/>
                    </w:rPr>
                  </w:pPr>
                </w:p>
              </w:tc>
              <w:tc>
                <w:tcPr>
                  <w:tcW w:w="718" w:type="pct"/>
                  <w:vMerge w:val="continue"/>
                  <w:tcMar>
                    <w:left w:w="0" w:type="dxa"/>
                    <w:right w:w="0" w:type="dxa"/>
                  </w:tcMar>
                  <w:vAlign w:val="center"/>
                </w:tcPr>
                <w:p w14:paraId="494D87E0">
                  <w:pPr>
                    <w:pStyle w:val="53"/>
                    <w:spacing w:line="240" w:lineRule="auto"/>
                    <w:ind w:firstLine="0" w:firstLineChars="0"/>
                    <w:contextualSpacing/>
                    <w:jc w:val="center"/>
                    <w:rPr>
                      <w:rFonts w:hint="eastAsia" w:cs="Times New Roman"/>
                      <w:color w:val="auto"/>
                      <w:szCs w:val="21"/>
                      <w:lang w:val="en-US" w:eastAsia="zh-CN"/>
                    </w:rPr>
                  </w:pPr>
                </w:p>
              </w:tc>
              <w:tc>
                <w:tcPr>
                  <w:tcW w:w="2434" w:type="pct"/>
                  <w:vMerge w:val="continue"/>
                  <w:tcBorders>
                    <w:bottom w:val="single" w:color="auto" w:sz="4" w:space="0"/>
                  </w:tcBorders>
                  <w:tcMar>
                    <w:left w:w="0" w:type="dxa"/>
                    <w:right w:w="0" w:type="dxa"/>
                  </w:tcMar>
                  <w:vAlign w:val="center"/>
                </w:tcPr>
                <w:p w14:paraId="5BE071D6">
                  <w:pPr>
                    <w:pStyle w:val="53"/>
                    <w:spacing w:line="240" w:lineRule="auto"/>
                    <w:ind w:firstLine="0" w:firstLineChars="0"/>
                    <w:contextualSpacing/>
                    <w:jc w:val="center"/>
                    <w:rPr>
                      <w:rFonts w:hint="eastAsia" w:cs="Times New Roman"/>
                      <w:color w:val="auto"/>
                      <w:szCs w:val="21"/>
                      <w:lang w:val="en-US" w:eastAsia="zh-CN"/>
                    </w:rPr>
                  </w:pPr>
                </w:p>
              </w:tc>
              <w:tc>
                <w:tcPr>
                  <w:tcW w:w="942" w:type="pct"/>
                  <w:vAlign w:val="center"/>
                </w:tcPr>
                <w:p w14:paraId="01FBB3C0">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24小时平均</w:t>
                  </w:r>
                </w:p>
              </w:tc>
              <w:tc>
                <w:tcPr>
                  <w:tcW w:w="597" w:type="pct"/>
                  <w:vAlign w:val="center"/>
                </w:tcPr>
                <w:p w14:paraId="09B17CCC">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300</w:t>
                  </w:r>
                </w:p>
              </w:tc>
            </w:tr>
            <w:tr w14:paraId="4BF436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28" w:type="dxa"/>
                  <w:left w:w="51" w:type="dxa"/>
                  <w:bottom w:w="28" w:type="dxa"/>
                  <w:right w:w="51" w:type="dxa"/>
                </w:tblCellMar>
              </w:tblPrEx>
              <w:trPr>
                <w:trHeight w:val="340" w:hRule="atLeast"/>
                <w:jc w:val="center"/>
              </w:trPr>
              <w:tc>
                <w:tcPr>
                  <w:tcW w:w="306" w:type="pct"/>
                  <w:tcMar>
                    <w:left w:w="0" w:type="dxa"/>
                    <w:right w:w="0" w:type="dxa"/>
                  </w:tcMar>
                  <w:vAlign w:val="center"/>
                </w:tcPr>
                <w:p w14:paraId="18EBC502">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w:t>
                  </w:r>
                </w:p>
              </w:tc>
              <w:tc>
                <w:tcPr>
                  <w:tcW w:w="718" w:type="pct"/>
                  <w:tcMar>
                    <w:left w:w="0" w:type="dxa"/>
                    <w:right w:w="0" w:type="dxa"/>
                  </w:tcMar>
                  <w:vAlign w:val="center"/>
                </w:tcPr>
                <w:p w14:paraId="25B7BC78">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非甲烷总烃</w:t>
                  </w:r>
                </w:p>
              </w:tc>
              <w:tc>
                <w:tcPr>
                  <w:tcW w:w="2434" w:type="pct"/>
                  <w:tcBorders>
                    <w:top w:val="single" w:color="auto" w:sz="4" w:space="0"/>
                  </w:tcBorders>
                  <w:tcMar>
                    <w:left w:w="0" w:type="dxa"/>
                    <w:right w:w="0" w:type="dxa"/>
                  </w:tcMar>
                  <w:vAlign w:val="center"/>
                </w:tcPr>
                <w:p w14:paraId="39A4D492">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《大气污染物综合排放标准详解》</w:t>
                  </w:r>
                </w:p>
              </w:tc>
              <w:tc>
                <w:tcPr>
                  <w:tcW w:w="942" w:type="pct"/>
                  <w:vAlign w:val="center"/>
                </w:tcPr>
                <w:p w14:paraId="7BEE6AEB">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一次值</w:t>
                  </w:r>
                </w:p>
              </w:tc>
              <w:tc>
                <w:tcPr>
                  <w:tcW w:w="597" w:type="pct"/>
                  <w:vAlign w:val="center"/>
                </w:tcPr>
                <w:p w14:paraId="6A401713">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2000</w:t>
                  </w:r>
                </w:p>
              </w:tc>
            </w:tr>
          </w:tbl>
          <w:p w14:paraId="4CACB060">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（2）评价方法</w:t>
            </w:r>
          </w:p>
          <w:p w14:paraId="5CCEBB36">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评价采用单因子污染指数法，计算公式如下：</w:t>
            </w:r>
          </w:p>
          <w:p w14:paraId="75A04705">
            <w:pPr>
              <w:widowControl/>
              <w:spacing w:line="360" w:lineRule="auto"/>
              <w:ind w:firstLine="480"/>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drawing>
                <wp:inline distT="0" distB="0" distL="0" distR="0">
                  <wp:extent cx="644525" cy="381000"/>
                  <wp:effectExtent l="0" t="0" r="3175" b="0"/>
                  <wp:docPr id="174399599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95996" name="图片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644525" cy="381000"/>
                          </a:xfrm>
                          <a:prstGeom prst="rect">
                            <a:avLst/>
                          </a:prstGeom>
                          <a:noFill/>
                          <a:ln>
                            <a:noFill/>
                          </a:ln>
                        </pic:spPr>
                      </pic:pic>
                    </a:graphicData>
                  </a:graphic>
                </wp:inline>
              </w:drawing>
            </w:r>
          </w:p>
          <w:p w14:paraId="1F686899">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式中：I</w:t>
            </w:r>
            <w:r>
              <w:rPr>
                <w:rFonts w:ascii="Times New Roman" w:hAnsi="Times New Roman" w:eastAsia="宋体" w:cs="Times New Roman"/>
                <w:bCs/>
                <w:i/>
                <w:iCs/>
                <w:kern w:val="0"/>
                <w:sz w:val="24"/>
                <w:szCs w:val="24"/>
                <w:vertAlign w:val="subscript"/>
              </w:rPr>
              <w:t>i</w:t>
            </w:r>
            <w:r>
              <w:rPr>
                <w:rFonts w:ascii="Times New Roman" w:hAnsi="Times New Roman" w:eastAsia="宋体" w:cs="Times New Roman"/>
                <w:bCs/>
                <w:kern w:val="0"/>
                <w:sz w:val="24"/>
                <w:szCs w:val="24"/>
              </w:rPr>
              <w:t>—i污染物的单因子污染指数；</w:t>
            </w:r>
          </w:p>
          <w:p w14:paraId="73E4F39B">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      C</w:t>
            </w:r>
            <w:r>
              <w:rPr>
                <w:rFonts w:ascii="Times New Roman" w:hAnsi="Times New Roman" w:eastAsia="宋体" w:cs="Times New Roman"/>
                <w:bCs/>
                <w:i/>
                <w:iCs/>
                <w:kern w:val="0"/>
                <w:sz w:val="24"/>
                <w:szCs w:val="24"/>
                <w:vertAlign w:val="subscript"/>
              </w:rPr>
              <w:t>i</w:t>
            </w:r>
            <w:r>
              <w:rPr>
                <w:rFonts w:ascii="Times New Roman" w:hAnsi="Times New Roman" w:eastAsia="宋体" w:cs="Times New Roman"/>
                <w:bCs/>
                <w:kern w:val="0"/>
                <w:sz w:val="24"/>
                <w:szCs w:val="24"/>
              </w:rPr>
              <w:t>—i污染物的实测浓度，mg/Nm</w:t>
            </w:r>
            <w:r>
              <w:rPr>
                <w:rFonts w:ascii="Times New Roman" w:hAnsi="Times New Roman" w:eastAsia="宋体" w:cs="Times New Roman"/>
                <w:bCs/>
                <w:kern w:val="0"/>
                <w:sz w:val="24"/>
                <w:szCs w:val="24"/>
                <w:vertAlign w:val="superscript"/>
              </w:rPr>
              <w:t>3</w:t>
            </w:r>
            <w:r>
              <w:rPr>
                <w:rFonts w:ascii="Times New Roman" w:hAnsi="Times New Roman" w:eastAsia="宋体" w:cs="Times New Roman"/>
                <w:bCs/>
                <w:kern w:val="0"/>
                <w:sz w:val="24"/>
                <w:szCs w:val="24"/>
              </w:rPr>
              <w:t>；</w:t>
            </w:r>
          </w:p>
          <w:p w14:paraId="22118EC9">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      C</w:t>
            </w:r>
            <w:r>
              <w:rPr>
                <w:rFonts w:ascii="Times New Roman" w:hAnsi="Times New Roman" w:eastAsia="宋体" w:cs="Times New Roman"/>
                <w:bCs/>
                <w:i/>
                <w:iCs/>
                <w:kern w:val="0"/>
                <w:sz w:val="24"/>
                <w:szCs w:val="24"/>
                <w:vertAlign w:val="subscript"/>
              </w:rPr>
              <w:t>Oi</w:t>
            </w:r>
            <w:r>
              <w:rPr>
                <w:rFonts w:ascii="Times New Roman" w:hAnsi="Times New Roman" w:eastAsia="宋体" w:cs="Times New Roman"/>
                <w:bCs/>
                <w:kern w:val="0"/>
                <w:sz w:val="24"/>
                <w:szCs w:val="24"/>
              </w:rPr>
              <w:t>—i污染物的评价标准，mg/Nm</w:t>
            </w:r>
            <w:r>
              <w:rPr>
                <w:rFonts w:ascii="Times New Roman" w:hAnsi="Times New Roman" w:eastAsia="宋体" w:cs="Times New Roman"/>
                <w:bCs/>
                <w:kern w:val="0"/>
                <w:sz w:val="24"/>
                <w:szCs w:val="24"/>
                <w:vertAlign w:val="superscript"/>
              </w:rPr>
              <w:t>3</w:t>
            </w:r>
            <w:r>
              <w:rPr>
                <w:rFonts w:ascii="Times New Roman" w:hAnsi="Times New Roman" w:eastAsia="宋体" w:cs="Times New Roman"/>
                <w:bCs/>
                <w:kern w:val="0"/>
                <w:sz w:val="24"/>
                <w:szCs w:val="24"/>
              </w:rPr>
              <w:t>。</w:t>
            </w:r>
          </w:p>
          <w:p w14:paraId="67919BCB">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当I</w:t>
            </w:r>
            <w:r>
              <w:rPr>
                <w:rFonts w:ascii="Times New Roman" w:hAnsi="Times New Roman" w:eastAsia="宋体" w:cs="Times New Roman"/>
                <w:bCs/>
                <w:i/>
                <w:iCs/>
                <w:kern w:val="0"/>
                <w:sz w:val="24"/>
                <w:szCs w:val="24"/>
                <w:vertAlign w:val="subscript"/>
              </w:rPr>
              <w:t>i</w:t>
            </w:r>
            <w:r>
              <w:rPr>
                <w:rFonts w:ascii="Times New Roman" w:hAnsi="Times New Roman" w:eastAsia="宋体" w:cs="Times New Roman"/>
                <w:bCs/>
                <w:kern w:val="0"/>
                <w:sz w:val="24"/>
                <w:szCs w:val="24"/>
              </w:rPr>
              <w:t>&gt;1时，即该因子超标。对照评价标准计算各监测点的各污染物小时平均浓度和日均浓度的污染指数范围（Cmin—Cmax）、分析最大浓度Cmax占标率和监测期间的超标率并评价达标情况。</w:t>
            </w:r>
          </w:p>
          <w:p w14:paraId="4D7452E1">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（4）监测结果及评价</w:t>
            </w:r>
          </w:p>
          <w:p w14:paraId="055DAE87">
            <w:pPr>
              <w:adjustRightInd w:val="0"/>
              <w:snapToGrid w:val="0"/>
              <w:spacing w:line="360" w:lineRule="auto"/>
              <w:ind w:firstLine="480" w:firstLineChars="20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根据现状监测数据，按照上述评价方法和标准，统计出本次大气环境质量评价结果，具体见下表所示：</w:t>
            </w:r>
          </w:p>
          <w:p w14:paraId="50796F14">
            <w:pPr>
              <w:spacing w:line="240" w:lineRule="auto"/>
              <w:ind w:firstLine="0" w:firstLineChars="0"/>
              <w:contextualSpacing/>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表3-4  大气环境现状监测结果及评价结果表</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1020"/>
              <w:gridCol w:w="799"/>
              <w:gridCol w:w="735"/>
              <w:gridCol w:w="924"/>
              <w:gridCol w:w="1148"/>
              <w:gridCol w:w="1039"/>
              <w:gridCol w:w="1014"/>
              <w:gridCol w:w="585"/>
              <w:gridCol w:w="552"/>
            </w:tblGrid>
            <w:tr w14:paraId="0F5D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340" w:hRule="atLeast"/>
              </w:trPr>
              <w:tc>
                <w:tcPr>
                  <w:tcW w:w="652" w:type="pct"/>
                  <w:vMerge w:val="restart"/>
                  <w:vAlign w:val="center"/>
                </w:tcPr>
                <w:p w14:paraId="55E48DB7">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监测点位</w:t>
                  </w:r>
                </w:p>
              </w:tc>
              <w:tc>
                <w:tcPr>
                  <w:tcW w:w="511" w:type="pct"/>
                  <w:vMerge w:val="restart"/>
                  <w:vAlign w:val="center"/>
                </w:tcPr>
                <w:p w14:paraId="2EB6B643">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污染物</w:t>
                  </w:r>
                </w:p>
              </w:tc>
              <w:tc>
                <w:tcPr>
                  <w:tcW w:w="470" w:type="pct"/>
                  <w:vMerge w:val="restart"/>
                  <w:vAlign w:val="center"/>
                </w:tcPr>
                <w:p w14:paraId="3FDDF269">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平均时间</w:t>
                  </w:r>
                </w:p>
              </w:tc>
              <w:tc>
                <w:tcPr>
                  <w:tcW w:w="591" w:type="pct"/>
                  <w:vMerge w:val="restart"/>
                  <w:vAlign w:val="center"/>
                </w:tcPr>
                <w:p w14:paraId="6E55B84A">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评价标准mg/m</w:t>
                  </w:r>
                  <w:r>
                    <w:rPr>
                      <w:rFonts w:hint="eastAsia" w:cs="Times New Roman"/>
                      <w:b/>
                      <w:bCs/>
                      <w:color w:val="auto"/>
                      <w:szCs w:val="21"/>
                      <w:vertAlign w:val="superscript"/>
                      <w:lang w:val="en-US" w:eastAsia="zh-CN"/>
                    </w:rPr>
                    <w:t>3</w:t>
                  </w:r>
                </w:p>
              </w:tc>
              <w:tc>
                <w:tcPr>
                  <w:tcW w:w="1398" w:type="pct"/>
                  <w:gridSpan w:val="2"/>
                  <w:vAlign w:val="center"/>
                </w:tcPr>
                <w:p w14:paraId="288AFC56">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监测浓度范围（mg/m</w:t>
                  </w:r>
                  <w:r>
                    <w:rPr>
                      <w:rFonts w:hint="eastAsia" w:cs="Times New Roman"/>
                      <w:b/>
                      <w:bCs/>
                      <w:color w:val="auto"/>
                      <w:szCs w:val="21"/>
                      <w:vertAlign w:val="superscript"/>
                      <w:lang w:val="en-US" w:eastAsia="zh-CN"/>
                    </w:rPr>
                    <w:t>3</w:t>
                  </w:r>
                  <w:r>
                    <w:rPr>
                      <w:rFonts w:hint="eastAsia" w:cs="Times New Roman"/>
                      <w:b/>
                      <w:bCs/>
                      <w:color w:val="auto"/>
                      <w:szCs w:val="21"/>
                      <w:lang w:val="en-US" w:eastAsia="zh-CN"/>
                    </w:rPr>
                    <w:t>）</w:t>
                  </w:r>
                </w:p>
              </w:tc>
              <w:tc>
                <w:tcPr>
                  <w:tcW w:w="648" w:type="pct"/>
                  <w:vMerge w:val="restart"/>
                  <w:vAlign w:val="center"/>
                </w:tcPr>
                <w:p w14:paraId="56F8D889">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最大浓度占标率%</w:t>
                  </w:r>
                </w:p>
              </w:tc>
              <w:tc>
                <w:tcPr>
                  <w:tcW w:w="374" w:type="pct"/>
                  <w:vMerge w:val="restart"/>
                  <w:vAlign w:val="center"/>
                </w:tcPr>
                <w:p w14:paraId="5BA934AD">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超标率%</w:t>
                  </w:r>
                </w:p>
              </w:tc>
              <w:tc>
                <w:tcPr>
                  <w:tcW w:w="353" w:type="pct"/>
                  <w:vMerge w:val="restart"/>
                  <w:vAlign w:val="center"/>
                </w:tcPr>
                <w:p w14:paraId="3212DC20">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达标</w:t>
                  </w:r>
                </w:p>
                <w:p w14:paraId="441DEBE2">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情况</w:t>
                  </w:r>
                </w:p>
              </w:tc>
            </w:tr>
            <w:tr w14:paraId="53EA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340" w:hRule="atLeast"/>
              </w:trPr>
              <w:tc>
                <w:tcPr>
                  <w:tcW w:w="652" w:type="pct"/>
                  <w:vMerge w:val="continue"/>
                  <w:vAlign w:val="center"/>
                </w:tcPr>
                <w:p w14:paraId="419CCB85">
                  <w:pPr>
                    <w:pStyle w:val="53"/>
                    <w:spacing w:line="240" w:lineRule="auto"/>
                    <w:ind w:firstLine="0" w:firstLineChars="0"/>
                    <w:contextualSpacing/>
                    <w:jc w:val="center"/>
                    <w:rPr>
                      <w:rFonts w:hint="eastAsia" w:cs="Times New Roman"/>
                      <w:color w:val="auto"/>
                      <w:szCs w:val="21"/>
                      <w:lang w:val="en-US" w:eastAsia="zh-CN"/>
                    </w:rPr>
                  </w:pPr>
                </w:p>
              </w:tc>
              <w:tc>
                <w:tcPr>
                  <w:tcW w:w="511" w:type="pct"/>
                  <w:vMerge w:val="continue"/>
                  <w:vAlign w:val="center"/>
                </w:tcPr>
                <w:p w14:paraId="3BE19B6B">
                  <w:pPr>
                    <w:pStyle w:val="53"/>
                    <w:spacing w:line="240" w:lineRule="auto"/>
                    <w:ind w:firstLine="0" w:firstLineChars="0"/>
                    <w:contextualSpacing/>
                    <w:jc w:val="center"/>
                    <w:rPr>
                      <w:rFonts w:hint="eastAsia" w:cs="Times New Roman"/>
                      <w:color w:val="auto"/>
                      <w:szCs w:val="21"/>
                      <w:lang w:val="en-US" w:eastAsia="zh-CN"/>
                    </w:rPr>
                  </w:pPr>
                </w:p>
              </w:tc>
              <w:tc>
                <w:tcPr>
                  <w:tcW w:w="470" w:type="pct"/>
                  <w:vMerge w:val="continue"/>
                  <w:vAlign w:val="center"/>
                </w:tcPr>
                <w:p w14:paraId="20B3A820">
                  <w:pPr>
                    <w:pStyle w:val="53"/>
                    <w:spacing w:line="240" w:lineRule="auto"/>
                    <w:ind w:firstLine="0" w:firstLineChars="0"/>
                    <w:contextualSpacing/>
                    <w:jc w:val="center"/>
                    <w:rPr>
                      <w:rFonts w:hint="eastAsia" w:cs="Times New Roman"/>
                      <w:color w:val="auto"/>
                      <w:szCs w:val="21"/>
                      <w:lang w:val="en-US" w:eastAsia="zh-CN"/>
                    </w:rPr>
                  </w:pPr>
                </w:p>
              </w:tc>
              <w:tc>
                <w:tcPr>
                  <w:tcW w:w="591" w:type="pct"/>
                  <w:vMerge w:val="continue"/>
                  <w:vAlign w:val="center"/>
                </w:tcPr>
                <w:p w14:paraId="7847AAB4">
                  <w:pPr>
                    <w:pStyle w:val="53"/>
                    <w:spacing w:line="240" w:lineRule="auto"/>
                    <w:ind w:firstLine="0" w:firstLineChars="0"/>
                    <w:contextualSpacing/>
                    <w:jc w:val="center"/>
                    <w:rPr>
                      <w:rFonts w:hint="eastAsia" w:cs="Times New Roman"/>
                      <w:color w:val="auto"/>
                      <w:szCs w:val="21"/>
                      <w:lang w:val="en-US" w:eastAsia="zh-CN"/>
                    </w:rPr>
                  </w:pPr>
                </w:p>
              </w:tc>
              <w:tc>
                <w:tcPr>
                  <w:tcW w:w="734" w:type="pct"/>
                  <w:vAlign w:val="center"/>
                </w:tcPr>
                <w:p w14:paraId="64B05A21">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最小值</w:t>
                  </w:r>
                </w:p>
              </w:tc>
              <w:tc>
                <w:tcPr>
                  <w:tcW w:w="663" w:type="pct"/>
                  <w:vAlign w:val="center"/>
                </w:tcPr>
                <w:p w14:paraId="03773997">
                  <w:pPr>
                    <w:pStyle w:val="53"/>
                    <w:spacing w:line="240" w:lineRule="auto"/>
                    <w:ind w:firstLine="0" w:firstLineChars="0"/>
                    <w:contextualSpacing/>
                    <w:jc w:val="center"/>
                    <w:rPr>
                      <w:rFonts w:hint="eastAsia" w:cs="Times New Roman"/>
                      <w:b/>
                      <w:bCs/>
                      <w:color w:val="auto"/>
                      <w:szCs w:val="21"/>
                      <w:lang w:val="en-US" w:eastAsia="zh-CN"/>
                    </w:rPr>
                  </w:pPr>
                  <w:r>
                    <w:rPr>
                      <w:rFonts w:hint="eastAsia" w:cs="Times New Roman"/>
                      <w:b/>
                      <w:bCs/>
                      <w:color w:val="auto"/>
                      <w:szCs w:val="21"/>
                      <w:lang w:val="en-US" w:eastAsia="zh-CN"/>
                    </w:rPr>
                    <w:t>最大值</w:t>
                  </w:r>
                </w:p>
              </w:tc>
              <w:tc>
                <w:tcPr>
                  <w:tcW w:w="648" w:type="pct"/>
                  <w:vMerge w:val="continue"/>
                  <w:vAlign w:val="center"/>
                </w:tcPr>
                <w:p w14:paraId="799D569B">
                  <w:pPr>
                    <w:pStyle w:val="53"/>
                    <w:spacing w:line="240" w:lineRule="auto"/>
                    <w:ind w:firstLine="0" w:firstLineChars="0"/>
                    <w:contextualSpacing/>
                    <w:jc w:val="center"/>
                    <w:rPr>
                      <w:rFonts w:hint="eastAsia" w:cs="Times New Roman"/>
                      <w:color w:val="auto"/>
                      <w:szCs w:val="21"/>
                      <w:lang w:val="en-US" w:eastAsia="zh-CN"/>
                    </w:rPr>
                  </w:pPr>
                </w:p>
              </w:tc>
              <w:tc>
                <w:tcPr>
                  <w:tcW w:w="374" w:type="pct"/>
                  <w:vMerge w:val="continue"/>
                  <w:vAlign w:val="center"/>
                </w:tcPr>
                <w:p w14:paraId="2E0E9286">
                  <w:pPr>
                    <w:pStyle w:val="53"/>
                    <w:spacing w:line="240" w:lineRule="auto"/>
                    <w:ind w:firstLine="0" w:firstLineChars="0"/>
                    <w:contextualSpacing/>
                    <w:jc w:val="center"/>
                    <w:rPr>
                      <w:rFonts w:hint="eastAsia" w:cs="Times New Roman"/>
                      <w:color w:val="auto"/>
                      <w:szCs w:val="21"/>
                      <w:lang w:val="en-US" w:eastAsia="zh-CN"/>
                    </w:rPr>
                  </w:pPr>
                </w:p>
              </w:tc>
              <w:tc>
                <w:tcPr>
                  <w:tcW w:w="353" w:type="pct"/>
                  <w:vMerge w:val="continue"/>
                  <w:vAlign w:val="center"/>
                </w:tcPr>
                <w:p w14:paraId="4A90BF7D">
                  <w:pPr>
                    <w:pStyle w:val="53"/>
                    <w:spacing w:line="240" w:lineRule="auto"/>
                    <w:ind w:firstLine="0" w:firstLineChars="0"/>
                    <w:contextualSpacing/>
                    <w:jc w:val="center"/>
                    <w:rPr>
                      <w:rFonts w:hint="eastAsia" w:cs="Times New Roman"/>
                      <w:color w:val="auto"/>
                      <w:szCs w:val="21"/>
                      <w:lang w:val="en-US" w:eastAsia="zh-CN"/>
                    </w:rPr>
                  </w:pPr>
                </w:p>
              </w:tc>
            </w:tr>
            <w:tr w14:paraId="2309B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340" w:hRule="atLeast"/>
              </w:trPr>
              <w:tc>
                <w:tcPr>
                  <w:tcW w:w="652" w:type="pct"/>
                  <w:vAlign w:val="center"/>
                </w:tcPr>
                <w:p w14:paraId="265695C0">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龙子湖风景名胜区</w:t>
                  </w:r>
                </w:p>
              </w:tc>
              <w:tc>
                <w:tcPr>
                  <w:tcW w:w="511" w:type="pct"/>
                  <w:vAlign w:val="center"/>
                </w:tcPr>
                <w:p w14:paraId="0759CBE8">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TSP</w:t>
                  </w:r>
                </w:p>
              </w:tc>
              <w:tc>
                <w:tcPr>
                  <w:tcW w:w="470" w:type="pct"/>
                  <w:vAlign w:val="center"/>
                </w:tcPr>
                <w:p w14:paraId="42BDBDDB">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日均值</w:t>
                  </w:r>
                </w:p>
              </w:tc>
              <w:tc>
                <w:tcPr>
                  <w:tcW w:w="591" w:type="pct"/>
                  <w:vAlign w:val="center"/>
                </w:tcPr>
                <w:p w14:paraId="440D6BC9">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0.3</w:t>
                  </w:r>
                </w:p>
              </w:tc>
              <w:tc>
                <w:tcPr>
                  <w:tcW w:w="734" w:type="pct"/>
                  <w:vAlign w:val="center"/>
                </w:tcPr>
                <w:p w14:paraId="195F63C5">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0.105</w:t>
                  </w:r>
                </w:p>
              </w:tc>
              <w:tc>
                <w:tcPr>
                  <w:tcW w:w="663" w:type="pct"/>
                  <w:vAlign w:val="center"/>
                </w:tcPr>
                <w:p w14:paraId="13AA3D9A">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0.117</w:t>
                  </w:r>
                </w:p>
              </w:tc>
              <w:tc>
                <w:tcPr>
                  <w:tcW w:w="648" w:type="pct"/>
                  <w:vAlign w:val="center"/>
                </w:tcPr>
                <w:p w14:paraId="1A992A8A">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39.0</w:t>
                  </w:r>
                </w:p>
              </w:tc>
              <w:tc>
                <w:tcPr>
                  <w:tcW w:w="374" w:type="pct"/>
                  <w:vAlign w:val="center"/>
                </w:tcPr>
                <w:p w14:paraId="053E6E2A">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w:t>
                  </w:r>
                </w:p>
              </w:tc>
              <w:tc>
                <w:tcPr>
                  <w:tcW w:w="353" w:type="pct"/>
                  <w:vAlign w:val="center"/>
                </w:tcPr>
                <w:p w14:paraId="4E8A27EF">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达标</w:t>
                  </w:r>
                </w:p>
              </w:tc>
            </w:tr>
            <w:tr w14:paraId="57AA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340" w:hRule="atLeast"/>
              </w:trPr>
              <w:tc>
                <w:tcPr>
                  <w:tcW w:w="652" w:type="pct"/>
                  <w:vAlign w:val="center"/>
                </w:tcPr>
                <w:p w14:paraId="07B75060">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比亚迪产业园</w:t>
                  </w:r>
                </w:p>
              </w:tc>
              <w:tc>
                <w:tcPr>
                  <w:tcW w:w="511" w:type="pct"/>
                  <w:vAlign w:val="center"/>
                </w:tcPr>
                <w:p w14:paraId="01E9E0C8">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非甲烷总烃</w:t>
                  </w:r>
                </w:p>
              </w:tc>
              <w:tc>
                <w:tcPr>
                  <w:tcW w:w="470" w:type="pct"/>
                  <w:vAlign w:val="center"/>
                </w:tcPr>
                <w:p w14:paraId="1A159F48">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小时值</w:t>
                  </w:r>
                </w:p>
              </w:tc>
              <w:tc>
                <w:tcPr>
                  <w:tcW w:w="591" w:type="pct"/>
                  <w:vAlign w:val="center"/>
                </w:tcPr>
                <w:p w14:paraId="61E5CBD9">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2.0</w:t>
                  </w:r>
                </w:p>
              </w:tc>
              <w:tc>
                <w:tcPr>
                  <w:tcW w:w="734" w:type="pct"/>
                  <w:vAlign w:val="center"/>
                </w:tcPr>
                <w:p w14:paraId="706ECD5E">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0.39</w:t>
                  </w:r>
                </w:p>
              </w:tc>
              <w:tc>
                <w:tcPr>
                  <w:tcW w:w="663" w:type="pct"/>
                  <w:vAlign w:val="center"/>
                </w:tcPr>
                <w:p w14:paraId="4DA20D13">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0.65</w:t>
                  </w:r>
                </w:p>
              </w:tc>
              <w:tc>
                <w:tcPr>
                  <w:tcW w:w="648" w:type="pct"/>
                  <w:vAlign w:val="center"/>
                </w:tcPr>
                <w:p w14:paraId="3269EDE2">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32.5</w:t>
                  </w:r>
                </w:p>
              </w:tc>
              <w:tc>
                <w:tcPr>
                  <w:tcW w:w="374" w:type="pct"/>
                  <w:vAlign w:val="center"/>
                </w:tcPr>
                <w:p w14:paraId="21B83260">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w:t>
                  </w:r>
                </w:p>
              </w:tc>
              <w:tc>
                <w:tcPr>
                  <w:tcW w:w="353" w:type="pct"/>
                  <w:vAlign w:val="center"/>
                </w:tcPr>
                <w:p w14:paraId="620F332E">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达标</w:t>
                  </w:r>
                </w:p>
              </w:tc>
            </w:tr>
          </w:tbl>
          <w:p w14:paraId="4226D661">
            <w:pPr>
              <w:adjustRightInd w:val="0"/>
              <w:snapToGrid w:val="0"/>
              <w:spacing w:line="360" w:lineRule="auto"/>
              <w:ind w:firstLine="480" w:firstLineChars="200"/>
              <w:rPr>
                <w:rFonts w:ascii="Times New Roman" w:hAnsi="Times New Roman" w:eastAsia="宋体" w:cs="Times New Roman"/>
                <w:bCs/>
                <w:kern w:val="0"/>
                <w:sz w:val="24"/>
                <w:szCs w:val="21"/>
              </w:rPr>
            </w:pPr>
            <w:r>
              <w:rPr>
                <w:rFonts w:hint="eastAsia" w:ascii="Times New Roman" w:hAnsi="Times New Roman" w:eastAsia="宋体" w:cs="Times New Roman"/>
                <w:bCs/>
                <w:kern w:val="0"/>
                <w:sz w:val="24"/>
                <w:szCs w:val="24"/>
              </w:rPr>
              <w:t>评价结果表明，监测期间，</w:t>
            </w:r>
            <w:r>
              <w:rPr>
                <w:rFonts w:ascii="Times New Roman" w:hAnsi="Times New Roman" w:eastAsia="宋体" w:cs="Times New Roman"/>
                <w:bCs/>
                <w:kern w:val="0"/>
                <w:sz w:val="24"/>
                <w:szCs w:val="24"/>
              </w:rPr>
              <w:t>区域内TSP</w:t>
            </w:r>
            <w:r>
              <w:rPr>
                <w:rFonts w:hint="eastAsia" w:ascii="Times New Roman" w:hAnsi="Times New Roman" w:eastAsia="宋体" w:cs="Times New Roman"/>
                <w:bCs/>
                <w:kern w:val="0"/>
                <w:sz w:val="24"/>
                <w:szCs w:val="24"/>
              </w:rPr>
              <w:t>能满足《环境空气质量标准》（GB3095-2026）</w:t>
            </w:r>
            <w:r>
              <w:rPr>
                <w:rFonts w:ascii="Times New Roman" w:hAnsi="Times New Roman" w:eastAsia="宋体" w:cs="Times New Roman"/>
                <w:bCs/>
                <w:kern w:val="0"/>
                <w:sz w:val="24"/>
                <w:szCs w:val="24"/>
              </w:rPr>
              <w:t>表</w:t>
            </w:r>
            <w:r>
              <w:rPr>
                <w:rFonts w:hint="eastAsia" w:ascii="Times New Roman" w:hAnsi="Times New Roman" w:eastAsia="宋体" w:cs="Times New Roman"/>
                <w:bCs/>
                <w:kern w:val="0"/>
                <w:sz w:val="24"/>
                <w:szCs w:val="24"/>
              </w:rPr>
              <w:t>2二级浓度限值</w:t>
            </w:r>
            <w:r>
              <w:rPr>
                <w:rFonts w:ascii="Times New Roman" w:hAnsi="Times New Roman" w:eastAsia="宋体" w:cs="Times New Roman"/>
                <w:bCs/>
                <w:kern w:val="0"/>
                <w:sz w:val="24"/>
                <w:szCs w:val="24"/>
              </w:rPr>
              <w:t>；</w:t>
            </w:r>
            <w:r>
              <w:rPr>
                <w:rFonts w:ascii="Times New Roman" w:hAnsi="Times New Roman" w:eastAsia="宋体" w:cs="Times New Roman"/>
                <w:bCs/>
                <w:kern w:val="0"/>
                <w:sz w:val="24"/>
                <w:szCs w:val="21"/>
              </w:rPr>
              <w:t>非甲烷总烃能够满足《</w:t>
            </w:r>
            <w:r>
              <w:rPr>
                <w:rFonts w:ascii="Times New Roman" w:hAnsi="Times New Roman" w:eastAsia="宋体" w:cs="Times New Roman"/>
                <w:bCs/>
                <w:kern w:val="0"/>
                <w:sz w:val="24"/>
                <w:szCs w:val="24"/>
              </w:rPr>
              <w:t>大气污染物综合排放标准详解》浓度</w:t>
            </w:r>
            <w:r>
              <w:rPr>
                <w:rFonts w:ascii="Times New Roman" w:hAnsi="Times New Roman" w:eastAsia="宋体" w:cs="Times New Roman"/>
                <w:bCs/>
                <w:kern w:val="0"/>
                <w:sz w:val="24"/>
                <w:szCs w:val="21"/>
              </w:rPr>
              <w:t>参考限值。</w:t>
            </w:r>
          </w:p>
          <w:p w14:paraId="39572905">
            <w:pPr>
              <w:pStyle w:val="11"/>
            </w:pPr>
          </w:p>
          <w:p w14:paraId="731E7BAB">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textAlignment w:val="auto"/>
              <w:rPr>
                <w:rFonts w:hint="eastAsia"/>
                <w:color w:val="auto"/>
              </w:rPr>
            </w:pPr>
            <w:r>
              <w:rPr>
                <w:rFonts w:ascii="Times New Roman" w:hAnsi="Times New Roman"/>
                <w:b/>
                <w:color w:val="auto"/>
                <w:kern w:val="0"/>
                <w:sz w:val="24"/>
              </w:rPr>
              <w:t>地表水环境质量</w:t>
            </w:r>
            <w:r>
              <w:rPr>
                <w:rFonts w:hint="eastAsia" w:ascii="Times New Roman" w:hAnsi="Times New Roman"/>
                <w:b/>
                <w:color w:val="auto"/>
                <w:kern w:val="0"/>
                <w:sz w:val="24"/>
              </w:rPr>
              <w:t>现状</w:t>
            </w:r>
          </w:p>
          <w:p w14:paraId="6DBA8EC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color w:val="auto"/>
                <w:sz w:val="24"/>
              </w:rPr>
            </w:pPr>
            <w:r>
              <w:rPr>
                <w:color w:val="auto"/>
                <w:sz w:val="24"/>
              </w:rPr>
              <w:t>项目评价区域内地表水体为淮河</w:t>
            </w:r>
            <w:r>
              <w:rPr>
                <w:rFonts w:hint="eastAsia"/>
                <w:color w:val="auto"/>
                <w:sz w:val="24"/>
                <w:lang w:eastAsia="zh-CN"/>
              </w:rPr>
              <w:t>干流蚌埠段</w:t>
            </w:r>
            <w:r>
              <w:rPr>
                <w:color w:val="auto"/>
                <w:sz w:val="24"/>
              </w:rPr>
              <w:t>。根据蚌埠市生态环境局发布的《202</w:t>
            </w:r>
            <w:r>
              <w:rPr>
                <w:rFonts w:hint="eastAsia"/>
                <w:color w:val="auto"/>
                <w:sz w:val="24"/>
                <w:lang w:val="en-US" w:eastAsia="zh-CN"/>
              </w:rPr>
              <w:t>4</w:t>
            </w:r>
            <w:r>
              <w:rPr>
                <w:color w:val="auto"/>
                <w:sz w:val="24"/>
              </w:rPr>
              <w:t>年蚌埠市生态环境质量状况公报》可知：</w:t>
            </w:r>
          </w:p>
          <w:p w14:paraId="5C37BC52">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1．国控断面</w:t>
            </w:r>
          </w:p>
          <w:p w14:paraId="7ECC5048">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2024年，蚌埠市</w:t>
            </w:r>
            <w:r>
              <w:rPr>
                <w:rFonts w:hint="eastAsia"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十四五</w:t>
            </w:r>
            <w:r>
              <w:rPr>
                <w:rFonts w:hint="eastAsia"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地表水国控监测断面（点位）包括8个河流断面（2个淮河干流和6个支流断面）和4个湖泊点位。</w:t>
            </w:r>
          </w:p>
          <w:p w14:paraId="09AC01D0">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淮河干流蚌埠段：沫河口断面水质类别符合《地表水环境质量标准》（GB3838-2002）中Ⅱ类标准，蚌埠闸上断面水质类别符合Ⅲ类标准。沫河口断面水质状况有所好转，由良好转为优。</w:t>
            </w:r>
          </w:p>
          <w:p w14:paraId="6E077C3A">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淮河蚌埠段支流：怀洪新河五河、浍河蚌埠固镇、茨淮新河上桥闸上、涡河怀远三桥、北淝河入淮河口、沱河关咀等6个监测断面均符合Ⅲ类标准，水质状况良好。淮河蚌埠段支流总体水质状况同比无明显变化。其中，涡河怀远三桥断面水质状况同比有所下降，由优转为良好，其他5个断面同比均无明显变化。</w:t>
            </w:r>
          </w:p>
          <w:p w14:paraId="160F03D8">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湖泊：天河、沱湖、天井湖、四方湖4个湖泊水质类别均符合Ⅳ类标准，水质状况为轻度污染，同比无明显变化。4个湖泊水体营养状态均为轻度富营养，同比无明显变化。</w:t>
            </w:r>
          </w:p>
          <w:p w14:paraId="2B0A8CDD">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2．省控断面</w:t>
            </w:r>
          </w:p>
          <w:p w14:paraId="06B8F868">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2024年，蚌埠市“十四五”地表水省控监测断面（点位）包括7个河流断面（3个淮河干流和4个支流）和2个湖泊点位。</w:t>
            </w:r>
          </w:p>
          <w:p w14:paraId="2818FA6D">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淮河干流蚌埠段：黄盆窑断面水质类别符合地表水环境质量标准》（GB3838-2002）中Ⅱ类标准，水质状况优；新城和晶源水务取水口2个断面水质类别均符合Ⅲ类标准，水质状况良好。3个断面水质状况同比均无明显变化。</w:t>
            </w:r>
          </w:p>
          <w:p w14:paraId="31E8A28A">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淮河蚌埠段支流：怀洪新河取水口、怀洪新河固镇、新开沱河闸、窑河入淮口等4个断面水质类别均符合Ⅲ类标准，水质状况良好。淮河蚌埠段支流总体水质状况同比无明显变化。其中，窑河入淮口水质状况有所下降，由优转为良好，其他3个断面同比均无明显变化。</w:t>
            </w:r>
          </w:p>
          <w:p w14:paraId="04AED18B">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湖泊：芡河湖点位水质类别符合Ⅲ类标准，同比有所好转，</w:t>
            </w:r>
          </w:p>
          <w:p w14:paraId="468B5A23">
            <w:pPr>
              <w:keepNext w:val="0"/>
              <w:keepLines w:val="0"/>
              <w:widowControl/>
              <w:suppressLineNumbers w:val="0"/>
              <w:jc w:val="both"/>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水质状况由轻度污染转为良好；龙子湖点位水质类别符合Ⅴ类标准，同比有所下降，水质状况由轻度污染转为中度污染。</w:t>
            </w:r>
          </w:p>
          <w:p w14:paraId="7DFF5CC5">
            <w:pPr>
              <w:keepNext w:val="0"/>
              <w:keepLines w:val="0"/>
              <w:widowControl/>
              <w:suppressLineNumbers w:val="0"/>
              <w:jc w:val="both"/>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项目纳污水体为淮河</w:t>
            </w:r>
            <w:r>
              <w:rPr>
                <w:rFonts w:hint="eastAsia" w:cs="Times New Roman"/>
                <w:color w:val="auto"/>
                <w:kern w:val="0"/>
                <w:sz w:val="24"/>
                <w:szCs w:val="24"/>
                <w:lang w:val="en-US" w:eastAsia="zh-CN" w:bidi="ar"/>
              </w:rPr>
              <w:t>干流蚌埠段</w:t>
            </w:r>
            <w:r>
              <w:rPr>
                <w:rFonts w:hint="eastAsia" w:ascii="Times New Roman" w:hAnsi="Times New Roman" w:eastAsia="宋体" w:cs="Times New Roman"/>
                <w:color w:val="auto"/>
                <w:kern w:val="0"/>
                <w:sz w:val="24"/>
                <w:szCs w:val="24"/>
                <w:lang w:val="en-US" w:eastAsia="zh-CN" w:bidi="ar"/>
              </w:rPr>
              <w:t>，根据公报结论可知，项目所在区域的淮河</w:t>
            </w:r>
            <w:r>
              <w:rPr>
                <w:rFonts w:hint="eastAsia" w:cs="Times New Roman"/>
                <w:color w:val="auto"/>
                <w:kern w:val="0"/>
                <w:sz w:val="24"/>
                <w:szCs w:val="24"/>
                <w:lang w:val="en-US" w:eastAsia="zh-CN" w:bidi="ar"/>
              </w:rPr>
              <w:t>干流蚌埠段</w:t>
            </w:r>
            <w:r>
              <w:rPr>
                <w:rFonts w:hint="eastAsia" w:ascii="Times New Roman" w:hAnsi="Times New Roman" w:eastAsia="宋体" w:cs="Times New Roman"/>
                <w:color w:val="auto"/>
                <w:kern w:val="0"/>
                <w:sz w:val="24"/>
                <w:szCs w:val="24"/>
                <w:lang w:val="en-US" w:eastAsia="zh-CN" w:bidi="ar"/>
              </w:rPr>
              <w:t>水质符合《地表水环境质量标准》﹙GB3838-2002﹚中Ⅲ类标准的要求。</w:t>
            </w:r>
          </w:p>
          <w:p w14:paraId="30A5B1B4">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left"/>
              <w:textAlignment w:val="auto"/>
              <w:rPr>
                <w:rFonts w:ascii="Times New Roman" w:hAnsi="Times New Roman"/>
                <w:b/>
                <w:color w:val="auto"/>
                <w:kern w:val="0"/>
                <w:sz w:val="24"/>
              </w:rPr>
            </w:pPr>
            <w:r>
              <w:rPr>
                <w:rFonts w:ascii="Times New Roman" w:hAnsi="Times New Roman"/>
                <w:b/>
                <w:color w:val="auto"/>
                <w:kern w:val="0"/>
                <w:sz w:val="24"/>
              </w:rPr>
              <w:t>三、声环境质量现状</w:t>
            </w:r>
          </w:p>
          <w:p w14:paraId="056CD3C6">
            <w:pPr>
              <w:spacing w:line="360" w:lineRule="auto"/>
              <w:ind w:firstLine="480" w:firstLineChars="200"/>
              <w:contextualSpacing/>
              <w:rPr>
                <w:sz w:val="24"/>
              </w:rPr>
            </w:pPr>
            <w:r>
              <w:rPr>
                <w:rFonts w:hint="eastAsia"/>
                <w:sz w:val="24"/>
              </w:rPr>
              <w:t>（1）监测点位、监测时间及频率</w:t>
            </w:r>
          </w:p>
          <w:p w14:paraId="569B3065">
            <w:pPr>
              <w:spacing w:line="360" w:lineRule="auto"/>
              <w:ind w:firstLine="480" w:firstLineChars="200"/>
              <w:contextualSpacing/>
              <w:rPr>
                <w:sz w:val="24"/>
              </w:rPr>
            </w:pPr>
            <w:r>
              <w:rPr>
                <w:sz w:val="24"/>
              </w:rPr>
              <w:t>本次声环境质量现状委托</w:t>
            </w:r>
            <w:r>
              <w:rPr>
                <w:rFonts w:hint="eastAsia"/>
                <w:bCs/>
                <w:sz w:val="24"/>
              </w:rPr>
              <w:t>安徽诚诺检测科技有限公司</w:t>
            </w:r>
            <w:r>
              <w:rPr>
                <w:sz w:val="24"/>
              </w:rPr>
              <w:t>开展了监测工作。监测时间为</w:t>
            </w:r>
            <w:r>
              <w:rPr>
                <w:rFonts w:hint="eastAsia"/>
                <w:sz w:val="24"/>
                <w:lang w:val="en-US" w:eastAsia="zh-CN"/>
              </w:rPr>
              <w:t>2026</w:t>
            </w:r>
            <w:r>
              <w:rPr>
                <w:rFonts w:hint="eastAsia"/>
                <w:sz w:val="24"/>
              </w:rPr>
              <w:t>年</w:t>
            </w:r>
            <w:r>
              <w:rPr>
                <w:rFonts w:hint="eastAsia"/>
                <w:sz w:val="24"/>
                <w:lang w:val="en-US" w:eastAsia="zh-CN"/>
              </w:rPr>
              <w:t>6</w:t>
            </w:r>
            <w:r>
              <w:rPr>
                <w:rFonts w:hint="eastAsia"/>
                <w:sz w:val="24"/>
              </w:rPr>
              <w:t>月</w:t>
            </w:r>
            <w:r>
              <w:rPr>
                <w:rFonts w:hint="eastAsia"/>
                <w:sz w:val="24"/>
                <w:lang w:val="en-US" w:eastAsia="zh-CN"/>
              </w:rPr>
              <w:t>26</w:t>
            </w:r>
            <w:r>
              <w:rPr>
                <w:rFonts w:hint="eastAsia"/>
                <w:sz w:val="24"/>
              </w:rPr>
              <w:t>日</w:t>
            </w:r>
            <w:r>
              <w:rPr>
                <w:sz w:val="24"/>
              </w:rPr>
              <w:t>，监测</w:t>
            </w:r>
            <w:r>
              <w:rPr>
                <w:rFonts w:hint="eastAsia"/>
                <w:sz w:val="24"/>
              </w:rPr>
              <w:t>点位</w:t>
            </w:r>
            <w:r>
              <w:rPr>
                <w:sz w:val="24"/>
              </w:rPr>
              <w:t>见表</w:t>
            </w:r>
            <w:r>
              <w:rPr>
                <w:rFonts w:hint="eastAsia"/>
                <w:sz w:val="24"/>
              </w:rPr>
              <w:t>3-1</w:t>
            </w:r>
            <w:r>
              <w:rPr>
                <w:sz w:val="24"/>
              </w:rPr>
              <w:t>。</w:t>
            </w:r>
          </w:p>
          <w:p w14:paraId="06352533">
            <w:pPr>
              <w:contextualSpacing/>
              <w:jc w:val="center"/>
              <w:rPr>
                <w:rFonts w:hint="eastAsia" w:ascii="Times New Roman" w:hAnsi="Times New Roman"/>
                <w:b/>
                <w:bCs/>
                <w:szCs w:val="21"/>
              </w:rPr>
            </w:pPr>
            <w:r>
              <w:rPr>
                <w:rFonts w:hint="eastAsia" w:ascii="Times New Roman" w:hAnsi="Times New Roman"/>
                <w:b/>
                <w:bCs/>
                <w:szCs w:val="21"/>
              </w:rPr>
              <w:t>表3-5  声环境现状监测点位一览表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632"/>
              <w:gridCol w:w="1432"/>
              <w:gridCol w:w="1637"/>
              <w:gridCol w:w="2232"/>
            </w:tblGrid>
            <w:tr w14:paraId="6AEB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pct"/>
                  <w:tcBorders>
                    <w:top w:val="single" w:color="auto" w:sz="4" w:space="0"/>
                    <w:left w:val="single" w:color="auto" w:sz="4" w:space="0"/>
                    <w:bottom w:val="single" w:color="auto" w:sz="4" w:space="0"/>
                    <w:right w:val="single" w:color="auto" w:sz="4" w:space="0"/>
                  </w:tcBorders>
                  <w:noWrap w:val="0"/>
                  <w:vAlign w:val="center"/>
                </w:tcPr>
                <w:p w14:paraId="4FAB712F">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编号</w:t>
                  </w:r>
                </w:p>
              </w:tc>
              <w:tc>
                <w:tcPr>
                  <w:tcW w:w="1043" w:type="pct"/>
                  <w:tcBorders>
                    <w:top w:val="single" w:color="auto" w:sz="4" w:space="0"/>
                    <w:left w:val="single" w:color="auto" w:sz="4" w:space="0"/>
                    <w:bottom w:val="single" w:color="auto" w:sz="4" w:space="0"/>
                    <w:right w:val="single" w:color="auto" w:sz="4" w:space="0"/>
                  </w:tcBorders>
                  <w:noWrap w:val="0"/>
                  <w:vAlign w:val="center"/>
                </w:tcPr>
                <w:p w14:paraId="5B7F1540">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点位</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3F4C0074">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监测项目</w:t>
                  </w:r>
                </w:p>
              </w:tc>
              <w:tc>
                <w:tcPr>
                  <w:tcW w:w="1046" w:type="pct"/>
                  <w:tcBorders>
                    <w:top w:val="single" w:color="auto" w:sz="4" w:space="0"/>
                    <w:left w:val="single" w:color="auto" w:sz="4" w:space="0"/>
                    <w:bottom w:val="single" w:color="auto" w:sz="4" w:space="0"/>
                    <w:right w:val="single" w:color="auto" w:sz="4" w:space="0"/>
                  </w:tcBorders>
                  <w:noWrap w:val="0"/>
                  <w:vAlign w:val="center"/>
                </w:tcPr>
                <w:p w14:paraId="18058EB7">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相对厂址方位</w:t>
                  </w:r>
                </w:p>
              </w:tc>
              <w:tc>
                <w:tcPr>
                  <w:tcW w:w="1426" w:type="pct"/>
                  <w:tcBorders>
                    <w:top w:val="single" w:color="auto" w:sz="4" w:space="0"/>
                    <w:left w:val="single" w:color="auto" w:sz="4" w:space="0"/>
                    <w:bottom w:val="single" w:color="auto" w:sz="4" w:space="0"/>
                    <w:right w:val="single" w:color="auto" w:sz="4" w:space="0"/>
                  </w:tcBorders>
                  <w:noWrap w:val="0"/>
                  <w:vAlign w:val="center"/>
                </w:tcPr>
                <w:p w14:paraId="1A17FD81">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备注</w:t>
                  </w:r>
                </w:p>
              </w:tc>
            </w:tr>
            <w:tr w14:paraId="3D34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pct"/>
                  <w:tcBorders>
                    <w:top w:val="single" w:color="auto" w:sz="4" w:space="0"/>
                    <w:left w:val="single" w:color="auto" w:sz="4" w:space="0"/>
                    <w:bottom w:val="single" w:color="auto" w:sz="4" w:space="0"/>
                    <w:right w:val="single" w:color="auto" w:sz="4" w:space="0"/>
                  </w:tcBorders>
                  <w:noWrap w:val="0"/>
                  <w:vAlign w:val="center"/>
                </w:tcPr>
                <w:p w14:paraId="63DD5620">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N1~N4</w:t>
                  </w:r>
                </w:p>
              </w:tc>
              <w:tc>
                <w:tcPr>
                  <w:tcW w:w="1043" w:type="pct"/>
                  <w:tcBorders>
                    <w:top w:val="single" w:color="auto" w:sz="4" w:space="0"/>
                    <w:left w:val="single" w:color="auto" w:sz="4" w:space="0"/>
                    <w:bottom w:val="single" w:color="auto" w:sz="4" w:space="0"/>
                    <w:right w:val="single" w:color="auto" w:sz="4" w:space="0"/>
                  </w:tcBorders>
                  <w:noWrap w:val="0"/>
                  <w:vAlign w:val="center"/>
                </w:tcPr>
                <w:p w14:paraId="3C2434A0">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东、南、西、北</w:t>
                  </w:r>
                </w:p>
              </w:tc>
              <w:tc>
                <w:tcPr>
                  <w:tcW w:w="915" w:type="pct"/>
                  <w:vMerge w:val="restart"/>
                  <w:tcBorders>
                    <w:top w:val="single" w:color="auto" w:sz="4" w:space="0"/>
                    <w:left w:val="single" w:color="auto" w:sz="4" w:space="0"/>
                    <w:right w:val="single" w:color="auto" w:sz="4" w:space="0"/>
                  </w:tcBorders>
                  <w:noWrap w:val="0"/>
                  <w:vAlign w:val="center"/>
                </w:tcPr>
                <w:p w14:paraId="098A2CEF">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等效连续A声级LAeq</w:t>
                  </w:r>
                </w:p>
              </w:tc>
              <w:tc>
                <w:tcPr>
                  <w:tcW w:w="1046" w:type="pct"/>
                  <w:tcBorders>
                    <w:top w:val="single" w:color="auto" w:sz="4" w:space="0"/>
                    <w:left w:val="single" w:color="auto" w:sz="4" w:space="0"/>
                    <w:bottom w:val="single" w:color="auto" w:sz="4" w:space="0"/>
                    <w:right w:val="single" w:color="auto" w:sz="4" w:space="0"/>
                  </w:tcBorders>
                  <w:noWrap w:val="0"/>
                  <w:vAlign w:val="center"/>
                </w:tcPr>
                <w:p w14:paraId="039DA742">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w:t>
                  </w:r>
                </w:p>
              </w:tc>
              <w:tc>
                <w:tcPr>
                  <w:tcW w:w="1426" w:type="pct"/>
                  <w:tcBorders>
                    <w:top w:val="single" w:color="auto" w:sz="4" w:space="0"/>
                    <w:left w:val="single" w:color="auto" w:sz="4" w:space="0"/>
                    <w:bottom w:val="single" w:color="auto" w:sz="4" w:space="0"/>
                    <w:right w:val="single" w:color="auto" w:sz="4" w:space="0"/>
                  </w:tcBorders>
                  <w:noWrap w:val="0"/>
                  <w:vAlign w:val="center"/>
                </w:tcPr>
                <w:p w14:paraId="1957B1A4">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w:t>
                  </w:r>
                </w:p>
              </w:tc>
            </w:tr>
            <w:tr w14:paraId="347E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pct"/>
                  <w:tcBorders>
                    <w:top w:val="single" w:color="auto" w:sz="4" w:space="0"/>
                    <w:left w:val="single" w:color="auto" w:sz="4" w:space="0"/>
                    <w:bottom w:val="single" w:color="auto" w:sz="4" w:space="0"/>
                    <w:right w:val="single" w:color="auto" w:sz="4" w:space="0"/>
                  </w:tcBorders>
                  <w:noWrap w:val="0"/>
                  <w:vAlign w:val="center"/>
                </w:tcPr>
                <w:p w14:paraId="38FEFC86">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N5</w:t>
                  </w:r>
                </w:p>
              </w:tc>
              <w:tc>
                <w:tcPr>
                  <w:tcW w:w="1043" w:type="pct"/>
                  <w:tcBorders>
                    <w:top w:val="single" w:color="auto" w:sz="4" w:space="0"/>
                    <w:left w:val="single" w:color="auto" w:sz="4" w:space="0"/>
                    <w:bottom w:val="single" w:color="auto" w:sz="4" w:space="0"/>
                    <w:right w:val="single" w:color="auto" w:sz="4" w:space="0"/>
                  </w:tcBorders>
                  <w:noWrap w:val="0"/>
                  <w:vAlign w:val="center"/>
                </w:tcPr>
                <w:p w14:paraId="6B374F1C">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龙湖雅苑</w:t>
                  </w:r>
                </w:p>
              </w:tc>
              <w:tc>
                <w:tcPr>
                  <w:tcW w:w="915" w:type="pct"/>
                  <w:vMerge w:val="continue"/>
                  <w:tcBorders>
                    <w:left w:val="single" w:color="auto" w:sz="4" w:space="0"/>
                    <w:bottom w:val="single" w:color="auto" w:sz="4" w:space="0"/>
                    <w:right w:val="single" w:color="auto" w:sz="4" w:space="0"/>
                  </w:tcBorders>
                  <w:noWrap w:val="0"/>
                  <w:vAlign w:val="center"/>
                </w:tcPr>
                <w:p w14:paraId="1BE2C46A">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1C7D2A0B">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w:t>
                  </w:r>
                </w:p>
              </w:tc>
              <w:tc>
                <w:tcPr>
                  <w:tcW w:w="1426" w:type="pct"/>
                  <w:tcBorders>
                    <w:top w:val="single" w:color="auto" w:sz="4" w:space="0"/>
                    <w:left w:val="single" w:color="auto" w:sz="4" w:space="0"/>
                    <w:bottom w:val="single" w:color="auto" w:sz="4" w:space="0"/>
                    <w:right w:val="single" w:color="auto" w:sz="4" w:space="0"/>
                  </w:tcBorders>
                  <w:noWrap w:val="0"/>
                  <w:vAlign w:val="center"/>
                </w:tcPr>
                <w:p w14:paraId="3BE0191E">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厂界外50m内声环境保护目标</w:t>
                  </w:r>
                </w:p>
              </w:tc>
            </w:tr>
          </w:tbl>
          <w:p w14:paraId="2B652967">
            <w:pPr>
              <w:spacing w:line="360" w:lineRule="auto"/>
              <w:ind w:left="0" w:leftChars="0" w:firstLine="0" w:firstLineChars="0"/>
              <w:contextualSpacing/>
              <w:rPr>
                <w:rFonts w:hint="eastAsia" w:ascii="Times New Roman" w:hAnsi="Times New Roman"/>
                <w:sz w:val="24"/>
              </w:rPr>
            </w:pPr>
            <w:r>
              <w:drawing>
                <wp:inline distT="0" distB="0" distL="114300" distR="114300">
                  <wp:extent cx="4968875" cy="3533140"/>
                  <wp:effectExtent l="0" t="0" r="3175" b="10160"/>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icPr>
                        <pic:blipFill>
                          <a:blip r:embed="rId29"/>
                          <a:stretch>
                            <a:fillRect/>
                          </a:stretch>
                        </pic:blipFill>
                        <pic:spPr>
                          <a:xfrm>
                            <a:off x="0" y="0"/>
                            <a:ext cx="4968875" cy="3533140"/>
                          </a:xfrm>
                          <a:prstGeom prst="rect">
                            <a:avLst/>
                          </a:prstGeom>
                          <a:noFill/>
                          <a:ln>
                            <a:noFill/>
                          </a:ln>
                        </pic:spPr>
                      </pic:pic>
                    </a:graphicData>
                  </a:graphic>
                </wp:inline>
              </w:drawing>
            </w:r>
          </w:p>
          <w:p w14:paraId="24FB76C2">
            <w:pPr>
              <w:autoSpaceDE w:val="0"/>
              <w:autoSpaceDN w:val="0"/>
              <w:spacing w:line="240" w:lineRule="auto"/>
              <w:ind w:firstLine="0" w:firstLineChars="0"/>
              <w:contextualSpacing/>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图</w:t>
            </w:r>
            <w:r>
              <w:rPr>
                <w:rFonts w:hint="eastAsia" w:cs="Times New Roman"/>
                <w:b/>
                <w:bCs/>
                <w:color w:val="auto"/>
                <w:sz w:val="21"/>
                <w:lang w:val="en-US" w:eastAsia="zh-CN"/>
              </w:rPr>
              <w:t>3-2</w:t>
            </w:r>
            <w:r>
              <w:rPr>
                <w:rFonts w:hint="eastAsia" w:ascii="Times New Roman" w:hAnsi="Times New Roman" w:eastAsia="宋体" w:cs="Times New Roman"/>
                <w:b/>
                <w:bCs/>
                <w:color w:val="auto"/>
                <w:sz w:val="21"/>
                <w:lang w:val="en-US" w:eastAsia="zh-CN"/>
              </w:rPr>
              <w:t xml:space="preserve">  </w:t>
            </w:r>
            <w:r>
              <w:rPr>
                <w:rFonts w:hint="eastAsia" w:cs="Times New Roman"/>
                <w:b/>
                <w:bCs/>
                <w:color w:val="auto"/>
                <w:sz w:val="21"/>
                <w:lang w:val="en-US" w:eastAsia="zh-CN"/>
              </w:rPr>
              <w:t>噪声监测点位</w:t>
            </w:r>
            <w:r>
              <w:rPr>
                <w:rFonts w:hint="default" w:ascii="Times New Roman" w:hAnsi="Times New Roman" w:eastAsia="宋体" w:cs="Times New Roman"/>
                <w:b/>
                <w:bCs/>
                <w:color w:val="auto"/>
                <w:sz w:val="21"/>
                <w:lang w:val="en-US" w:eastAsia="zh-CN"/>
              </w:rPr>
              <w:t>图</w:t>
            </w:r>
          </w:p>
          <w:p w14:paraId="49F40F75">
            <w:pPr>
              <w:spacing w:line="360" w:lineRule="auto"/>
              <w:ind w:firstLine="240" w:firstLineChars="100"/>
              <w:contextualSpacing/>
              <w:rPr>
                <w:rFonts w:hint="eastAsia" w:ascii="Times New Roman" w:hAnsi="Times New Roman"/>
                <w:sz w:val="24"/>
              </w:rPr>
            </w:pPr>
            <w:r>
              <w:rPr>
                <w:rFonts w:hint="eastAsia" w:ascii="Times New Roman" w:hAnsi="Times New Roman"/>
                <w:sz w:val="24"/>
              </w:rPr>
              <w:t>（2）监测结果</w:t>
            </w:r>
          </w:p>
          <w:p w14:paraId="6F7235EC">
            <w:pPr>
              <w:contextualSpacing/>
              <w:jc w:val="center"/>
              <w:rPr>
                <w:b/>
                <w:bCs/>
                <w:szCs w:val="21"/>
              </w:rPr>
            </w:pPr>
            <w:r>
              <w:rPr>
                <w:rFonts w:hint="eastAsia"/>
                <w:b/>
                <w:bCs/>
                <w:szCs w:val="21"/>
              </w:rPr>
              <w:t>3</w:t>
            </w:r>
            <w:r>
              <w:rPr>
                <w:b/>
                <w:bCs/>
                <w:szCs w:val="21"/>
              </w:rPr>
              <w:t>-</w:t>
            </w:r>
            <w:r>
              <w:rPr>
                <w:rFonts w:hint="eastAsia"/>
                <w:b/>
                <w:bCs/>
                <w:szCs w:val="21"/>
              </w:rPr>
              <w:t>6</w:t>
            </w:r>
            <w:r>
              <w:rPr>
                <w:b/>
                <w:bCs/>
                <w:szCs w:val="21"/>
              </w:rPr>
              <w:t xml:space="preserve">  噪声监测结果</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803"/>
              <w:gridCol w:w="2376"/>
            </w:tblGrid>
            <w:tr w14:paraId="5A7D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9" w:type="pct"/>
                  <w:vMerge w:val="restart"/>
                  <w:noWrap w:val="0"/>
                  <w:vAlign w:val="center"/>
                </w:tcPr>
                <w:p w14:paraId="145E4310">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编号</w:t>
                  </w:r>
                </w:p>
              </w:tc>
              <w:tc>
                <w:tcPr>
                  <w:tcW w:w="2431" w:type="pct"/>
                  <w:vMerge w:val="restart"/>
                  <w:noWrap w:val="0"/>
                  <w:vAlign w:val="center"/>
                </w:tcPr>
                <w:p w14:paraId="7DCFA27B">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检测点位</w:t>
                  </w:r>
                </w:p>
              </w:tc>
              <w:tc>
                <w:tcPr>
                  <w:tcW w:w="1519" w:type="pct"/>
                  <w:noWrap w:val="0"/>
                  <w:vAlign w:val="center"/>
                </w:tcPr>
                <w:p w14:paraId="02BAB19E">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cs="Times New Roman"/>
                      <w:b/>
                      <w:bCs/>
                      <w:color w:val="auto"/>
                      <w:szCs w:val="21"/>
                      <w:lang w:val="en-US" w:eastAsia="zh-CN"/>
                    </w:rPr>
                    <w:t>2026</w:t>
                  </w:r>
                  <w:r>
                    <w:rPr>
                      <w:rFonts w:hint="eastAsia" w:ascii="Times New Roman" w:hAnsi="Times New Roman" w:eastAsia="宋体" w:cs="Times New Roman"/>
                      <w:b/>
                      <w:bCs/>
                      <w:color w:val="auto"/>
                      <w:szCs w:val="21"/>
                      <w:lang w:val="en-US" w:eastAsia="zh-CN"/>
                    </w:rPr>
                    <w:t>年</w:t>
                  </w:r>
                  <w:r>
                    <w:rPr>
                      <w:rFonts w:hint="eastAsia" w:cs="Times New Roman"/>
                      <w:b/>
                      <w:bCs/>
                      <w:color w:val="auto"/>
                      <w:szCs w:val="21"/>
                      <w:lang w:val="en-US" w:eastAsia="zh-CN"/>
                    </w:rPr>
                    <w:t>6</w:t>
                  </w:r>
                  <w:r>
                    <w:rPr>
                      <w:rFonts w:hint="eastAsia" w:ascii="Times New Roman" w:hAnsi="Times New Roman" w:eastAsia="宋体" w:cs="Times New Roman"/>
                      <w:b/>
                      <w:bCs/>
                      <w:color w:val="auto"/>
                      <w:szCs w:val="21"/>
                      <w:lang w:val="en-US" w:eastAsia="zh-CN"/>
                    </w:rPr>
                    <w:t>月</w:t>
                  </w:r>
                  <w:r>
                    <w:rPr>
                      <w:rFonts w:hint="eastAsia" w:cs="Times New Roman"/>
                      <w:b/>
                      <w:bCs/>
                      <w:color w:val="auto"/>
                      <w:szCs w:val="21"/>
                      <w:lang w:val="en-US" w:eastAsia="zh-CN"/>
                    </w:rPr>
                    <w:t>26</w:t>
                  </w:r>
                  <w:r>
                    <w:rPr>
                      <w:rFonts w:hint="eastAsia" w:ascii="Times New Roman" w:hAnsi="Times New Roman" w:eastAsia="宋体" w:cs="Times New Roman"/>
                      <w:b/>
                      <w:bCs/>
                      <w:color w:val="auto"/>
                      <w:szCs w:val="21"/>
                      <w:lang w:val="en-US" w:eastAsia="zh-CN"/>
                    </w:rPr>
                    <w:t>日</w:t>
                  </w:r>
                </w:p>
              </w:tc>
            </w:tr>
            <w:tr w14:paraId="24A8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vMerge w:val="continue"/>
                  <w:noWrap w:val="0"/>
                  <w:vAlign w:val="center"/>
                </w:tcPr>
                <w:p w14:paraId="0747F0BF">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p>
              </w:tc>
              <w:tc>
                <w:tcPr>
                  <w:tcW w:w="2431" w:type="pct"/>
                  <w:vMerge w:val="continue"/>
                  <w:noWrap w:val="0"/>
                  <w:vAlign w:val="center"/>
                </w:tcPr>
                <w:p w14:paraId="3E63BE93">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p>
              </w:tc>
              <w:tc>
                <w:tcPr>
                  <w:tcW w:w="1519" w:type="pct"/>
                  <w:noWrap w:val="0"/>
                  <w:vAlign w:val="center"/>
                </w:tcPr>
                <w:p w14:paraId="599A7022">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昼间</w:t>
                  </w:r>
                </w:p>
              </w:tc>
            </w:tr>
            <w:tr w14:paraId="0F04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vMerge w:val="continue"/>
                  <w:noWrap w:val="0"/>
                  <w:vAlign w:val="center"/>
                </w:tcPr>
                <w:p w14:paraId="1C679649">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p>
              </w:tc>
              <w:tc>
                <w:tcPr>
                  <w:tcW w:w="2431" w:type="pct"/>
                  <w:vMerge w:val="continue"/>
                  <w:noWrap w:val="0"/>
                  <w:vAlign w:val="center"/>
                </w:tcPr>
                <w:p w14:paraId="06D3E1B1">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p>
              </w:tc>
              <w:tc>
                <w:tcPr>
                  <w:tcW w:w="1519" w:type="pct"/>
                  <w:noWrap w:val="0"/>
                  <w:vAlign w:val="center"/>
                </w:tcPr>
                <w:p w14:paraId="45A3EA19">
                  <w:pPr>
                    <w:pStyle w:val="53"/>
                    <w:spacing w:line="240" w:lineRule="auto"/>
                    <w:ind w:firstLine="0" w:firstLineChars="0"/>
                    <w:contextualSpacing/>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dB(A)</w:t>
                  </w:r>
                </w:p>
              </w:tc>
            </w:tr>
            <w:tr w14:paraId="28D1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noWrap w:val="0"/>
                  <w:vAlign w:val="center"/>
                </w:tcPr>
                <w:p w14:paraId="026385E9">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N1</w:t>
                  </w:r>
                </w:p>
              </w:tc>
              <w:tc>
                <w:tcPr>
                  <w:tcW w:w="2431" w:type="pct"/>
                  <w:noWrap w:val="0"/>
                  <w:vAlign w:val="center"/>
                </w:tcPr>
                <w:p w14:paraId="427E71D5">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厂界东</w:t>
                  </w:r>
                </w:p>
              </w:tc>
              <w:tc>
                <w:tcPr>
                  <w:tcW w:w="1519" w:type="pct"/>
                  <w:noWrap w:val="0"/>
                  <w:vAlign w:val="center"/>
                </w:tcPr>
                <w:p w14:paraId="095C5983">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50</w:t>
                  </w:r>
                </w:p>
              </w:tc>
            </w:tr>
            <w:tr w14:paraId="7876B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noWrap w:val="0"/>
                  <w:vAlign w:val="center"/>
                </w:tcPr>
                <w:p w14:paraId="285EACA6">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N2</w:t>
                  </w:r>
                </w:p>
              </w:tc>
              <w:tc>
                <w:tcPr>
                  <w:tcW w:w="2431" w:type="pct"/>
                  <w:noWrap w:val="0"/>
                  <w:vAlign w:val="center"/>
                </w:tcPr>
                <w:p w14:paraId="160CE120">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厂界南</w:t>
                  </w:r>
                </w:p>
              </w:tc>
              <w:tc>
                <w:tcPr>
                  <w:tcW w:w="1519" w:type="pct"/>
                  <w:noWrap w:val="0"/>
                  <w:vAlign w:val="center"/>
                </w:tcPr>
                <w:p w14:paraId="58608E38">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56</w:t>
                  </w:r>
                </w:p>
              </w:tc>
            </w:tr>
            <w:tr w14:paraId="21A5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noWrap w:val="0"/>
                  <w:vAlign w:val="center"/>
                </w:tcPr>
                <w:p w14:paraId="4AE21B8B">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N3</w:t>
                  </w:r>
                </w:p>
              </w:tc>
              <w:tc>
                <w:tcPr>
                  <w:tcW w:w="2431" w:type="pct"/>
                  <w:noWrap w:val="0"/>
                  <w:vAlign w:val="center"/>
                </w:tcPr>
                <w:p w14:paraId="49034CE0">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厂界西</w:t>
                  </w:r>
                </w:p>
              </w:tc>
              <w:tc>
                <w:tcPr>
                  <w:tcW w:w="1519" w:type="pct"/>
                  <w:noWrap w:val="0"/>
                  <w:vAlign w:val="center"/>
                </w:tcPr>
                <w:p w14:paraId="29BC1CB2">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46</w:t>
                  </w:r>
                </w:p>
              </w:tc>
            </w:tr>
            <w:tr w14:paraId="04C8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noWrap w:val="0"/>
                  <w:vAlign w:val="center"/>
                </w:tcPr>
                <w:p w14:paraId="21ABE63B">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N4</w:t>
                  </w:r>
                </w:p>
              </w:tc>
              <w:tc>
                <w:tcPr>
                  <w:tcW w:w="2431" w:type="pct"/>
                  <w:noWrap w:val="0"/>
                  <w:vAlign w:val="center"/>
                </w:tcPr>
                <w:p w14:paraId="002DAF45">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厂界北</w:t>
                  </w:r>
                </w:p>
              </w:tc>
              <w:tc>
                <w:tcPr>
                  <w:tcW w:w="1519" w:type="pct"/>
                  <w:noWrap w:val="0"/>
                  <w:vAlign w:val="center"/>
                </w:tcPr>
                <w:p w14:paraId="2D8C2553">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51</w:t>
                  </w:r>
                </w:p>
              </w:tc>
            </w:tr>
            <w:tr w14:paraId="2111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pct"/>
                  <w:noWrap w:val="0"/>
                  <w:vAlign w:val="center"/>
                </w:tcPr>
                <w:p w14:paraId="213D5086">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N5</w:t>
                  </w:r>
                </w:p>
              </w:tc>
              <w:tc>
                <w:tcPr>
                  <w:tcW w:w="2431" w:type="pct"/>
                  <w:noWrap w:val="0"/>
                  <w:vAlign w:val="center"/>
                </w:tcPr>
                <w:p w14:paraId="58476873">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龙湖雅苑</w:t>
                  </w:r>
                </w:p>
              </w:tc>
              <w:tc>
                <w:tcPr>
                  <w:tcW w:w="1519" w:type="pct"/>
                  <w:noWrap w:val="0"/>
                  <w:vAlign w:val="center"/>
                </w:tcPr>
                <w:p w14:paraId="6759F086">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46</w:t>
                  </w:r>
                </w:p>
              </w:tc>
            </w:tr>
          </w:tbl>
          <w:p w14:paraId="6FDD819B">
            <w:pPr>
              <w:adjustRightInd w:val="0"/>
              <w:snapToGrid w:val="0"/>
              <w:spacing w:line="360" w:lineRule="auto"/>
              <w:ind w:firstLine="480" w:firstLineChars="200"/>
              <w:rPr>
                <w:rFonts w:hint="eastAsia"/>
                <w:sz w:val="24"/>
              </w:rPr>
            </w:pPr>
            <w:r>
              <w:rPr>
                <w:sz w:val="24"/>
              </w:rPr>
              <w:t>由上表可知，项目</w:t>
            </w:r>
            <w:r>
              <w:rPr>
                <w:rFonts w:hint="eastAsia"/>
                <w:sz w:val="24"/>
              </w:rPr>
              <w:t>东、南、西、北</w:t>
            </w:r>
            <w:r>
              <w:rPr>
                <w:sz w:val="24"/>
              </w:rPr>
              <w:t>厂界声环境现状监测结果符合《声环境质量标准》（GB3096-2008）中</w:t>
            </w:r>
            <w:r>
              <w:rPr>
                <w:rFonts w:hint="eastAsia"/>
                <w:sz w:val="24"/>
              </w:rPr>
              <w:t>3</w:t>
            </w:r>
            <w:r>
              <w:rPr>
                <w:sz w:val="24"/>
              </w:rPr>
              <w:t>类</w:t>
            </w:r>
            <w:r>
              <w:rPr>
                <w:rFonts w:hint="eastAsia"/>
                <w:sz w:val="24"/>
              </w:rPr>
              <w:t>区</w:t>
            </w:r>
            <w:r>
              <w:rPr>
                <w:sz w:val="24"/>
              </w:rPr>
              <w:t>标准要求</w:t>
            </w:r>
            <w:r>
              <w:rPr>
                <w:rFonts w:hint="eastAsia"/>
                <w:sz w:val="24"/>
              </w:rPr>
              <w:t>，敏感点</w:t>
            </w:r>
            <w:r>
              <w:rPr>
                <w:rFonts w:hint="eastAsia"/>
                <w:sz w:val="24"/>
                <w:lang w:eastAsia="zh-CN"/>
              </w:rPr>
              <w:t>龙湖雅苑</w:t>
            </w:r>
            <w:r>
              <w:rPr>
                <w:sz w:val="24"/>
              </w:rPr>
              <w:t>声环境现状监测结果符合《声环境质量标准》（GB3096-2008）中</w:t>
            </w:r>
            <w:r>
              <w:rPr>
                <w:rFonts w:hint="eastAsia"/>
                <w:sz w:val="24"/>
              </w:rPr>
              <w:t>2</w:t>
            </w:r>
            <w:r>
              <w:rPr>
                <w:sz w:val="24"/>
              </w:rPr>
              <w:t>类</w:t>
            </w:r>
            <w:r>
              <w:rPr>
                <w:rFonts w:hint="eastAsia"/>
                <w:sz w:val="24"/>
              </w:rPr>
              <w:t>区</w:t>
            </w:r>
            <w:r>
              <w:rPr>
                <w:sz w:val="24"/>
              </w:rPr>
              <w:t>标准要求</w:t>
            </w:r>
            <w:r>
              <w:rPr>
                <w:rFonts w:hint="eastAsia"/>
                <w:sz w:val="24"/>
              </w:rPr>
              <w:t>。</w:t>
            </w:r>
          </w:p>
          <w:p w14:paraId="758C1BA9">
            <w:pPr>
              <w:pStyle w:val="75"/>
              <w:widowControl/>
              <w:autoSpaceDE/>
              <w:autoSpaceDN/>
              <w:snapToGrid/>
              <w:spacing w:before="0" w:line="360" w:lineRule="auto"/>
              <w:ind w:firstLine="480" w:firstLineChars="200"/>
              <w:jc w:val="both"/>
              <w:rPr>
                <w:rFonts w:ascii="Times New Roman" w:hAnsi="Times New Roman"/>
                <w:b/>
                <w:color w:val="auto"/>
                <w:kern w:val="0"/>
                <w:sz w:val="24"/>
              </w:rPr>
            </w:pPr>
            <w:r>
              <w:rPr>
                <w:rFonts w:ascii="Times New Roman" w:hAnsi="Times New Roman"/>
                <w:b/>
                <w:color w:val="auto"/>
                <w:kern w:val="0"/>
                <w:sz w:val="24"/>
              </w:rPr>
              <w:t>四、生态环境</w:t>
            </w:r>
          </w:p>
          <w:p w14:paraId="4A20EB01">
            <w:pPr>
              <w:widowControl w:val="0"/>
              <w:spacing w:line="360" w:lineRule="auto"/>
              <w:ind w:firstLine="480" w:firstLineChars="200"/>
              <w:jc w:val="both"/>
              <w:rPr>
                <w:rFonts w:hint="eastAsia" w:ascii="Times New Roman" w:hAnsi="Times New Roman"/>
                <w:color w:val="auto"/>
                <w:kern w:val="0"/>
                <w:sz w:val="24"/>
                <w:lang w:val="en-US" w:eastAsia="zh-CN"/>
              </w:rPr>
            </w:pPr>
            <w:r>
              <w:rPr>
                <w:rFonts w:hint="eastAsia" w:ascii="Times New Roman" w:hAnsi="Times New Roman"/>
                <w:color w:val="auto"/>
                <w:kern w:val="0"/>
                <w:sz w:val="24"/>
                <w:lang w:val="en-US" w:eastAsia="zh-CN"/>
              </w:rPr>
              <w:t>经现场踏勘，本项目位于</w:t>
            </w:r>
            <w:r>
              <w:rPr>
                <w:rFonts w:hint="eastAsia" w:eastAsia="宋体" w:cs="Times New Roman"/>
                <w:color w:val="auto"/>
                <w:lang w:val="en-US" w:eastAsia="zh-CN"/>
              </w:rPr>
              <w:t>安徽省蚌埠市龙子湖区李楼乡胜利东路199号（厂区东片）</w:t>
            </w:r>
            <w:r>
              <w:rPr>
                <w:rFonts w:hint="eastAsia" w:ascii="Times New Roman" w:hAnsi="Times New Roman"/>
                <w:color w:val="auto"/>
                <w:kern w:val="0"/>
                <w:sz w:val="24"/>
                <w:lang w:val="en-US" w:eastAsia="zh-CN"/>
              </w:rPr>
              <w:t>，用地范围内不涉及生态环境保护目标，无需进行生态现状调查。</w:t>
            </w:r>
          </w:p>
          <w:p w14:paraId="515D06C1">
            <w:pPr>
              <w:widowControl w:val="0"/>
              <w:spacing w:line="360" w:lineRule="auto"/>
              <w:ind w:firstLine="482" w:firstLineChars="200"/>
              <w:jc w:val="both"/>
              <w:rPr>
                <w:rFonts w:hint="eastAsia" w:ascii="Times New Roman" w:hAnsi="Times New Roman"/>
                <w:b/>
                <w:color w:val="auto"/>
                <w:kern w:val="0"/>
                <w:sz w:val="24"/>
              </w:rPr>
            </w:pPr>
            <w:r>
              <w:rPr>
                <w:rFonts w:hint="eastAsia" w:ascii="Times New Roman" w:hAnsi="Times New Roman"/>
                <w:b/>
                <w:color w:val="auto"/>
                <w:kern w:val="0"/>
                <w:sz w:val="24"/>
              </w:rPr>
              <w:t>五、电磁辐射</w:t>
            </w:r>
          </w:p>
          <w:p w14:paraId="2785A351">
            <w:pPr>
              <w:widowControl w:val="0"/>
              <w:spacing w:line="360" w:lineRule="auto"/>
              <w:ind w:firstLine="480" w:firstLineChars="200"/>
              <w:jc w:val="both"/>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项目不属于电磁辐射类项目，无需进行电磁辐射现状监测与评价。</w:t>
            </w:r>
          </w:p>
          <w:p w14:paraId="2EBB8E85">
            <w:pPr>
              <w:widowControl w:val="0"/>
              <w:spacing w:line="360" w:lineRule="auto"/>
              <w:ind w:firstLine="482" w:firstLineChars="200"/>
              <w:jc w:val="both"/>
              <w:rPr>
                <w:rFonts w:ascii="Times New Roman" w:hAnsi="Times New Roman"/>
                <w:b/>
                <w:color w:val="auto"/>
                <w:kern w:val="0"/>
                <w:sz w:val="24"/>
              </w:rPr>
            </w:pPr>
            <w:r>
              <w:rPr>
                <w:rFonts w:ascii="Times New Roman" w:hAnsi="Times New Roman"/>
                <w:b/>
                <w:color w:val="auto"/>
                <w:kern w:val="0"/>
                <w:sz w:val="24"/>
              </w:rPr>
              <w:t>六、地下水、土壤环境</w:t>
            </w:r>
          </w:p>
          <w:p w14:paraId="39FA9482">
            <w:pPr>
              <w:widowControl w:val="0"/>
              <w:spacing w:line="360" w:lineRule="auto"/>
              <w:ind w:firstLine="480" w:firstLineChars="200"/>
              <w:jc w:val="both"/>
              <w:rPr>
                <w:rFonts w:hint="default" w:ascii="Times New Roman" w:hAnsi="Times New Roman" w:eastAsia="宋体" w:cs="Times New Roman"/>
                <w:color w:val="auto"/>
                <w:kern w:val="0"/>
                <w:sz w:val="18"/>
                <w:szCs w:val="21"/>
                <w:lang w:val="en-US" w:eastAsia="zh-CN" w:bidi="ar-SA"/>
              </w:rPr>
            </w:pPr>
            <w:r>
              <w:rPr>
                <w:rFonts w:hint="default" w:ascii="Times New Roman" w:hAnsi="Times New Roman" w:eastAsia="宋体" w:cs="Times New Roman"/>
                <w:color w:val="auto"/>
                <w:kern w:val="2"/>
                <w:sz w:val="24"/>
                <w:szCs w:val="24"/>
                <w:lang w:val="en-US" w:eastAsia="zh-CN" w:bidi="ar-SA"/>
              </w:rPr>
              <w:t>根据《建设项目环境影响报告表编制技术指南》（污染影响类）（试行），地下水、土壤原则上不开展环境质量现状调查，建设项目存在土壤、地下水污染途径的，应结合污染源、环境保护目标分布情况开展现状调查以留作背景值。本项目运行期间不涉及重金属及持久性难降解污染物，厂区地面</w:t>
            </w:r>
            <w:r>
              <w:rPr>
                <w:rFonts w:hint="eastAsia" w:ascii="Times New Roman" w:hAnsi="Times New Roman" w:eastAsia="宋体" w:cs="Times New Roman"/>
                <w:color w:val="auto"/>
                <w:kern w:val="2"/>
                <w:sz w:val="24"/>
                <w:szCs w:val="24"/>
                <w:lang w:val="en-US" w:eastAsia="zh-CN" w:bidi="ar-SA"/>
              </w:rPr>
              <w:t>需</w:t>
            </w:r>
            <w:r>
              <w:rPr>
                <w:rFonts w:hint="default" w:ascii="Times New Roman" w:hAnsi="Times New Roman" w:eastAsia="宋体" w:cs="Times New Roman"/>
                <w:color w:val="auto"/>
                <w:kern w:val="2"/>
                <w:sz w:val="24"/>
                <w:szCs w:val="24"/>
                <w:lang w:val="en-US" w:eastAsia="zh-CN" w:bidi="ar-SA"/>
              </w:rPr>
              <w:t>硬化并采取分区防控措施。因此，本评价可不进行地下水及土壤环境质量现状评价</w:t>
            </w:r>
            <w:r>
              <w:rPr>
                <w:rFonts w:hint="eastAsia" w:cs="Times New Roman"/>
                <w:color w:val="auto"/>
                <w:kern w:val="2"/>
                <w:sz w:val="24"/>
                <w:szCs w:val="24"/>
                <w:lang w:val="en-US" w:eastAsia="zh-CN" w:bidi="ar-SA"/>
              </w:rPr>
              <w:t>。</w:t>
            </w:r>
          </w:p>
        </w:tc>
      </w:tr>
      <w:tr w14:paraId="1735DF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4" w:type="dxa"/>
            <w:shd w:val="clear" w:color="auto" w:fill="auto"/>
            <w:noWrap w:val="0"/>
            <w:vAlign w:val="center"/>
          </w:tcPr>
          <w:p w14:paraId="52470220">
            <w:pPr>
              <w:adjustRightInd w:val="0"/>
              <w:snapToGrid w:val="0"/>
              <w:spacing w:line="240" w:lineRule="auto"/>
              <w:ind w:firstLine="0" w:firstLineChars="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环境</w:t>
            </w:r>
          </w:p>
          <w:p w14:paraId="0122159F">
            <w:pPr>
              <w:adjustRightInd w:val="0"/>
              <w:snapToGrid w:val="0"/>
              <w:spacing w:line="240" w:lineRule="auto"/>
              <w:ind w:firstLine="0" w:firstLineChars="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保护</w:t>
            </w:r>
          </w:p>
          <w:p w14:paraId="4A5F389A">
            <w:pPr>
              <w:adjustRightInd w:val="0"/>
              <w:snapToGrid w:val="0"/>
              <w:spacing w:line="240" w:lineRule="auto"/>
              <w:ind w:firstLine="0" w:firstLineChars="0"/>
              <w:rPr>
                <w:rFonts w:hint="default" w:ascii="Times New Roman" w:hAnsi="Times New Roman" w:eastAsia="宋体" w:cs="Times New Roman"/>
                <w:color w:val="auto"/>
                <w:kern w:val="0"/>
                <w:sz w:val="24"/>
                <w:szCs w:val="21"/>
                <w:lang w:val="en-US" w:eastAsia="zh-CN" w:bidi="ar-SA"/>
              </w:rPr>
            </w:pPr>
            <w:r>
              <w:rPr>
                <w:rFonts w:hint="default" w:ascii="Times New Roman" w:hAnsi="Times New Roman" w:eastAsia="宋体" w:cs="Times New Roman"/>
                <w:color w:val="auto"/>
                <w:kern w:val="0"/>
                <w:szCs w:val="21"/>
              </w:rPr>
              <w:t>目标</w:t>
            </w:r>
          </w:p>
        </w:tc>
        <w:tc>
          <w:tcPr>
            <w:tcW w:w="8048" w:type="dxa"/>
            <w:shd w:val="clear" w:color="auto" w:fill="auto"/>
            <w:noWrap w:val="0"/>
            <w:vAlign w:val="top"/>
          </w:tcPr>
          <w:p w14:paraId="4E5A37F8">
            <w:pPr>
              <w:adjustRightInd w:val="0"/>
              <w:snapToGrid w:val="0"/>
              <w:spacing w:line="360" w:lineRule="auto"/>
              <w:ind w:firstLine="480" w:firstLineChars="200"/>
              <w:rPr>
                <w:rFonts w:ascii="Times New Roman" w:hAnsi="Times New Roman"/>
                <w:kern w:val="0"/>
                <w:sz w:val="24"/>
              </w:rPr>
            </w:pPr>
            <w:r>
              <w:rPr>
                <w:rFonts w:ascii="Times New Roman" w:hAnsi="Times New Roman"/>
                <w:kern w:val="0"/>
                <w:sz w:val="24"/>
              </w:rPr>
              <w:t>根据现场勘探调查，本项目评价范围内无自然保护区、风景名胜区和文物古迹等需要特殊保护的环境敏感对象，总体上不因本项目的实施而改变区域环境现有功能。</w:t>
            </w:r>
            <w:r>
              <w:rPr>
                <w:rFonts w:hint="eastAsia" w:ascii="Times New Roman" w:hAnsi="Times New Roman"/>
                <w:kern w:val="0"/>
                <w:sz w:val="24"/>
              </w:rPr>
              <w:t>本项目主要环境保护目标</w:t>
            </w:r>
          </w:p>
          <w:p w14:paraId="780453E5">
            <w:pPr>
              <w:adjustRightInd w:val="0"/>
              <w:snapToGrid w:val="0"/>
              <w:spacing w:line="360" w:lineRule="auto"/>
              <w:ind w:firstLine="480" w:firstLineChars="200"/>
              <w:rPr>
                <w:sz w:val="24"/>
              </w:rPr>
            </w:pPr>
            <w:r>
              <w:rPr>
                <w:rFonts w:hint="eastAsia"/>
                <w:sz w:val="24"/>
              </w:rPr>
              <w:t>1、大气环境：</w:t>
            </w:r>
            <w:r>
              <w:rPr>
                <w:sz w:val="24"/>
              </w:rPr>
              <w:t>本项目评价范围内（边长5</w:t>
            </w:r>
            <w:r>
              <w:rPr>
                <w:rFonts w:hint="eastAsia"/>
                <w:sz w:val="24"/>
              </w:rPr>
              <w:t>00</w:t>
            </w:r>
            <w:r>
              <w:rPr>
                <w:sz w:val="24"/>
              </w:rPr>
              <w:t>m区域）大气环境保护</w:t>
            </w:r>
            <w:r>
              <w:rPr>
                <w:rFonts w:ascii="Times New Roman" w:hAnsi="Times New Roman"/>
                <w:sz w:val="24"/>
              </w:rPr>
              <w:t>目标</w:t>
            </w:r>
            <w:r>
              <w:rPr>
                <w:rFonts w:hint="eastAsia" w:ascii="Times New Roman" w:hAnsi="Times New Roman"/>
                <w:sz w:val="24"/>
              </w:rPr>
              <w:t>具体见表3-7；</w:t>
            </w:r>
          </w:p>
          <w:p w14:paraId="518B988A">
            <w:pPr>
              <w:adjustRightInd w:val="0"/>
              <w:snapToGrid w:val="0"/>
              <w:spacing w:line="360" w:lineRule="auto"/>
              <w:ind w:firstLine="480" w:firstLineChars="200"/>
              <w:rPr>
                <w:rFonts w:hint="eastAsia" w:ascii="Times New Roman" w:hAnsi="Times New Roman"/>
                <w:kern w:val="0"/>
                <w:sz w:val="24"/>
              </w:rPr>
            </w:pPr>
            <w:r>
              <w:rPr>
                <w:rFonts w:ascii="Times New Roman" w:hAnsi="Times New Roman"/>
                <w:kern w:val="0"/>
                <w:sz w:val="24"/>
              </w:rPr>
              <w:t>2</w:t>
            </w:r>
            <w:r>
              <w:rPr>
                <w:rFonts w:hint="eastAsia" w:ascii="Times New Roman" w:hAnsi="Times New Roman"/>
                <w:kern w:val="0"/>
                <w:sz w:val="24"/>
              </w:rPr>
              <w:t>、声环境：厂界外</w:t>
            </w:r>
            <w:r>
              <w:rPr>
                <w:rFonts w:ascii="Times New Roman" w:hAnsi="Times New Roman"/>
                <w:kern w:val="0"/>
                <w:sz w:val="24"/>
              </w:rPr>
              <w:t>50</w:t>
            </w:r>
            <w:r>
              <w:rPr>
                <w:rFonts w:hint="eastAsia" w:ascii="Times New Roman" w:hAnsi="Times New Roman"/>
                <w:kern w:val="0"/>
                <w:sz w:val="24"/>
              </w:rPr>
              <w:t>米范围内声环境保护目标具体见3-7。</w:t>
            </w:r>
          </w:p>
          <w:p w14:paraId="17AB1F64">
            <w:pPr>
              <w:adjustRightInd w:val="0"/>
              <w:snapToGrid w:val="0"/>
              <w:spacing w:line="360" w:lineRule="auto"/>
              <w:ind w:firstLine="480" w:firstLineChars="200"/>
              <w:rPr>
                <w:rFonts w:hint="eastAsia" w:ascii="Times New Roman" w:hAnsi="Times New Roman"/>
                <w:kern w:val="0"/>
                <w:sz w:val="24"/>
              </w:rPr>
            </w:pPr>
            <w:r>
              <w:rPr>
                <w:rFonts w:ascii="Times New Roman" w:hAnsi="Times New Roman"/>
                <w:kern w:val="0"/>
                <w:sz w:val="24"/>
              </w:rPr>
              <w:t>3</w:t>
            </w:r>
            <w:r>
              <w:rPr>
                <w:rFonts w:hint="eastAsia" w:ascii="Times New Roman" w:hAnsi="Times New Roman"/>
                <w:kern w:val="0"/>
                <w:sz w:val="24"/>
              </w:rPr>
              <w:t>、地下水环境：厂界外</w:t>
            </w:r>
            <w:r>
              <w:rPr>
                <w:rFonts w:ascii="Times New Roman" w:hAnsi="Times New Roman"/>
                <w:kern w:val="0"/>
                <w:sz w:val="24"/>
              </w:rPr>
              <w:t>500</w:t>
            </w:r>
            <w:r>
              <w:rPr>
                <w:rFonts w:hint="eastAsia" w:ascii="Times New Roman" w:hAnsi="Times New Roman"/>
                <w:kern w:val="0"/>
                <w:sz w:val="24"/>
              </w:rPr>
              <w:t>米范围内无地下水集中式饮用水水源和热水、矿泉水、温泉等特殊地下水资源。</w:t>
            </w:r>
          </w:p>
          <w:p w14:paraId="53894E51">
            <w:pPr>
              <w:adjustRightInd w:val="0"/>
              <w:snapToGrid w:val="0"/>
              <w:spacing w:line="360" w:lineRule="auto"/>
              <w:ind w:firstLine="480" w:firstLineChars="200"/>
              <w:rPr>
                <w:rFonts w:hint="eastAsia" w:ascii="Times New Roman" w:hAnsi="Times New Roman"/>
                <w:kern w:val="0"/>
                <w:sz w:val="24"/>
              </w:rPr>
            </w:pPr>
            <w:r>
              <w:rPr>
                <w:rFonts w:ascii="Times New Roman" w:hAnsi="Times New Roman"/>
                <w:kern w:val="0"/>
                <w:sz w:val="24"/>
              </w:rPr>
              <w:t>4</w:t>
            </w:r>
            <w:r>
              <w:rPr>
                <w:rFonts w:hint="eastAsia" w:ascii="Times New Roman" w:hAnsi="Times New Roman"/>
                <w:kern w:val="0"/>
                <w:sz w:val="24"/>
              </w:rPr>
              <w:t>、生态环境：本项目</w:t>
            </w:r>
            <w:r>
              <w:rPr>
                <w:rFonts w:hint="eastAsia" w:ascii="Times New Roman" w:hAnsi="Times New Roman"/>
                <w:kern w:val="0"/>
                <w:sz w:val="24"/>
                <w:lang w:eastAsia="zh-CN"/>
              </w:rPr>
              <w:t>租赁</w:t>
            </w:r>
            <w:r>
              <w:rPr>
                <w:rFonts w:hint="eastAsia" w:ascii="Times New Roman" w:hAnsi="Times New Roman"/>
                <w:kern w:val="0"/>
                <w:sz w:val="24"/>
                <w:lang w:val="en-US" w:eastAsia="zh-CN"/>
              </w:rPr>
              <w:t>蚌埠金大地保温器皿有限公司</w:t>
            </w:r>
            <w:r>
              <w:rPr>
                <w:rFonts w:hint="eastAsia" w:ascii="Times New Roman" w:hAnsi="Times New Roman"/>
                <w:kern w:val="0"/>
                <w:sz w:val="24"/>
              </w:rPr>
              <w:t>，不新增占地，</w:t>
            </w:r>
            <w:r>
              <w:rPr>
                <w:rFonts w:hint="default" w:ascii="Times New Roman" w:hAnsi="Times New Roman" w:eastAsia="宋体" w:cs="Times New Roman"/>
                <w:color w:val="auto"/>
                <w:kern w:val="2"/>
                <w:sz w:val="24"/>
                <w:szCs w:val="24"/>
                <w:lang w:val="en-US" w:eastAsia="zh-CN" w:bidi="ar-SA"/>
              </w:rPr>
              <w:t>项目用地为工业用地，</w:t>
            </w:r>
            <w:r>
              <w:rPr>
                <w:rFonts w:hint="eastAsia" w:ascii="Times New Roman" w:hAnsi="Times New Roman"/>
                <w:kern w:val="0"/>
                <w:sz w:val="24"/>
              </w:rPr>
              <w:t>用地范围内无生态环境保护目标。</w:t>
            </w:r>
          </w:p>
          <w:p w14:paraId="5324A6CB">
            <w:pPr>
              <w:spacing w:line="240" w:lineRule="auto"/>
              <w:ind w:firstLine="0" w:firstLineChars="0"/>
              <w:contextualSpacing/>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表3</w:t>
            </w:r>
            <w:r>
              <w:rPr>
                <w:rFonts w:hint="eastAsia" w:ascii="Times New Roman" w:hAnsi="Times New Roman" w:eastAsia="宋体" w:cs="Times New Roman"/>
                <w:b/>
                <w:bCs/>
                <w:color w:val="auto"/>
                <w:sz w:val="21"/>
                <w:szCs w:val="21"/>
                <w:lang w:val="en-US" w:eastAsia="zh-CN"/>
              </w:rPr>
              <w:t>-</w:t>
            </w:r>
            <w:r>
              <w:rPr>
                <w:rFonts w:hint="eastAsia" w:cs="Times New Roman"/>
                <w:b/>
                <w:bCs/>
                <w:color w:val="auto"/>
                <w:sz w:val="21"/>
                <w:szCs w:val="21"/>
                <w:lang w:val="en-US" w:eastAsia="zh-CN"/>
              </w:rPr>
              <w:t>7</w:t>
            </w:r>
            <w:r>
              <w:rPr>
                <w:rFonts w:hint="eastAsia"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lang w:val="en-US" w:eastAsia="zh-CN"/>
              </w:rPr>
              <w:t>建设项目</w:t>
            </w:r>
            <w:r>
              <w:rPr>
                <w:rFonts w:hint="eastAsia" w:cs="Times New Roman"/>
                <w:b/>
                <w:bCs/>
                <w:color w:val="auto"/>
                <w:sz w:val="21"/>
                <w:szCs w:val="21"/>
                <w:lang w:val="en-US" w:eastAsia="zh-CN"/>
              </w:rPr>
              <w:t>500m</w:t>
            </w:r>
            <w:r>
              <w:rPr>
                <w:rFonts w:hint="default" w:ascii="Times New Roman" w:hAnsi="Times New Roman" w:eastAsia="宋体" w:cs="Times New Roman"/>
                <w:b/>
                <w:bCs/>
                <w:color w:val="auto"/>
                <w:sz w:val="21"/>
                <w:szCs w:val="21"/>
                <w:lang w:val="en-US" w:eastAsia="zh-CN"/>
              </w:rPr>
              <w:t>主要大气环境保护目标一览表</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705"/>
              <w:gridCol w:w="736"/>
              <w:gridCol w:w="1077"/>
              <w:gridCol w:w="696"/>
              <w:gridCol w:w="941"/>
              <w:gridCol w:w="1281"/>
              <w:gridCol w:w="819"/>
              <w:gridCol w:w="920"/>
            </w:tblGrid>
            <w:tr w14:paraId="24A8A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10" w:type="pct"/>
                  <w:vMerge w:val="restart"/>
                  <w:tcBorders>
                    <w:top w:val="single" w:color="auto" w:sz="4" w:space="0"/>
                    <w:left w:val="single" w:color="auto" w:sz="4" w:space="0"/>
                    <w:right w:val="single" w:color="auto" w:sz="4" w:space="0"/>
                  </w:tcBorders>
                  <w:noWrap w:val="0"/>
                  <w:vAlign w:val="center"/>
                </w:tcPr>
                <w:p w14:paraId="34D0B426">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eastAsia" w:ascii="Times New Roman" w:hAnsi="Times New Roman" w:eastAsia="宋体" w:cs="Times New Roman"/>
                      <w:b/>
                      <w:bCs/>
                      <w:color w:val="auto"/>
                      <w:szCs w:val="21"/>
                      <w:lang w:eastAsia="zh-CN"/>
                    </w:rPr>
                    <w:t>环境要素</w:t>
                  </w:r>
                </w:p>
              </w:tc>
              <w:tc>
                <w:tcPr>
                  <w:tcW w:w="921" w:type="pct"/>
                  <w:gridSpan w:val="2"/>
                  <w:tcBorders>
                    <w:top w:val="single" w:color="auto" w:sz="4" w:space="0"/>
                    <w:left w:val="single" w:color="auto" w:sz="4" w:space="0"/>
                    <w:bottom w:val="single" w:color="auto" w:sz="4" w:space="0"/>
                    <w:right w:val="single" w:color="auto" w:sz="4" w:space="0"/>
                  </w:tcBorders>
                  <w:noWrap w:val="0"/>
                  <w:vAlign w:val="center"/>
                </w:tcPr>
                <w:p w14:paraId="0635E00C">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坐标</w:t>
                  </w:r>
                </w:p>
              </w:tc>
              <w:tc>
                <w:tcPr>
                  <w:tcW w:w="688" w:type="pct"/>
                  <w:vMerge w:val="restart"/>
                  <w:tcBorders>
                    <w:top w:val="single" w:color="auto" w:sz="4" w:space="0"/>
                    <w:left w:val="single" w:color="auto" w:sz="4" w:space="0"/>
                    <w:right w:val="single" w:color="auto" w:sz="4" w:space="0"/>
                  </w:tcBorders>
                  <w:noWrap w:val="0"/>
                  <w:vAlign w:val="center"/>
                </w:tcPr>
                <w:p w14:paraId="238081C4">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保护</w:t>
                  </w:r>
                </w:p>
                <w:p w14:paraId="207E80FA">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对象</w:t>
                  </w:r>
                </w:p>
              </w:tc>
              <w:tc>
                <w:tcPr>
                  <w:tcW w:w="445" w:type="pct"/>
                  <w:vMerge w:val="restart"/>
                  <w:tcBorders>
                    <w:top w:val="single" w:color="auto" w:sz="4" w:space="0"/>
                    <w:left w:val="single" w:color="auto" w:sz="4" w:space="0"/>
                    <w:right w:val="single" w:color="auto" w:sz="4" w:space="0"/>
                  </w:tcBorders>
                  <w:noWrap w:val="0"/>
                  <w:vAlign w:val="center"/>
                </w:tcPr>
                <w:p w14:paraId="312E0C7E">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保护内容</w:t>
                  </w:r>
                </w:p>
              </w:tc>
              <w:tc>
                <w:tcPr>
                  <w:tcW w:w="601" w:type="pct"/>
                  <w:vMerge w:val="restart"/>
                  <w:tcBorders>
                    <w:top w:val="single" w:color="auto" w:sz="4" w:space="0"/>
                    <w:left w:val="single" w:color="auto" w:sz="4" w:space="0"/>
                    <w:right w:val="single" w:color="auto" w:sz="4" w:space="0"/>
                  </w:tcBorders>
                  <w:noWrap w:val="0"/>
                  <w:vAlign w:val="center"/>
                </w:tcPr>
                <w:p w14:paraId="36E969BC">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规模</w:t>
                  </w:r>
                </w:p>
              </w:tc>
              <w:tc>
                <w:tcPr>
                  <w:tcW w:w="819" w:type="pct"/>
                  <w:vMerge w:val="restart"/>
                  <w:tcBorders>
                    <w:top w:val="single" w:color="auto" w:sz="4" w:space="0"/>
                    <w:left w:val="single" w:color="auto" w:sz="4" w:space="0"/>
                    <w:right w:val="single" w:color="auto" w:sz="4" w:space="0"/>
                  </w:tcBorders>
                  <w:noWrap w:val="0"/>
                  <w:vAlign w:val="center"/>
                </w:tcPr>
                <w:p w14:paraId="144EC943">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环境功能区</w:t>
                  </w:r>
                </w:p>
              </w:tc>
              <w:tc>
                <w:tcPr>
                  <w:tcW w:w="523" w:type="pct"/>
                  <w:vMerge w:val="restart"/>
                  <w:tcBorders>
                    <w:top w:val="single" w:color="auto" w:sz="4" w:space="0"/>
                    <w:left w:val="single" w:color="auto" w:sz="4" w:space="0"/>
                    <w:right w:val="single" w:color="auto" w:sz="4" w:space="0"/>
                  </w:tcBorders>
                  <w:noWrap w:val="0"/>
                  <w:vAlign w:val="center"/>
                </w:tcPr>
                <w:p w14:paraId="6FDB9BFF">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相对厂址方位</w:t>
                  </w:r>
                </w:p>
              </w:tc>
              <w:tc>
                <w:tcPr>
                  <w:tcW w:w="588" w:type="pct"/>
                  <w:vMerge w:val="restart"/>
                  <w:tcBorders>
                    <w:top w:val="single" w:color="auto" w:sz="4" w:space="0"/>
                    <w:left w:val="single" w:color="auto" w:sz="4" w:space="0"/>
                    <w:right w:val="single" w:color="auto" w:sz="4" w:space="0"/>
                  </w:tcBorders>
                  <w:noWrap w:val="0"/>
                  <w:vAlign w:val="center"/>
                </w:tcPr>
                <w:p w14:paraId="0F64EDFE">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相对厂界距离/m</w:t>
                  </w:r>
                </w:p>
              </w:tc>
            </w:tr>
            <w:tr w14:paraId="00E9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vMerge w:val="continue"/>
                  <w:tcBorders>
                    <w:left w:val="single" w:color="auto" w:sz="4" w:space="0"/>
                    <w:bottom w:val="single" w:color="auto" w:sz="4" w:space="0"/>
                    <w:right w:val="single" w:color="auto" w:sz="4" w:space="0"/>
                  </w:tcBorders>
                  <w:noWrap w:val="0"/>
                  <w:vAlign w:val="center"/>
                </w:tcPr>
                <w:p w14:paraId="72CA0780">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710A06CC">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经度</w:t>
                  </w:r>
                </w:p>
              </w:tc>
              <w:tc>
                <w:tcPr>
                  <w:tcW w:w="470" w:type="pct"/>
                  <w:tcBorders>
                    <w:top w:val="single" w:color="auto" w:sz="4" w:space="0"/>
                    <w:left w:val="single" w:color="auto" w:sz="4" w:space="0"/>
                    <w:bottom w:val="single" w:color="auto" w:sz="4" w:space="0"/>
                    <w:right w:val="single" w:color="auto" w:sz="4" w:space="0"/>
                  </w:tcBorders>
                  <w:noWrap w:val="0"/>
                  <w:vAlign w:val="center"/>
                </w:tcPr>
                <w:p w14:paraId="62D67945">
                  <w:pPr>
                    <w:pStyle w:val="53"/>
                    <w:spacing w:line="240" w:lineRule="auto"/>
                    <w:ind w:firstLine="0" w:firstLineChars="0"/>
                    <w:contextualSpacing/>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纬度</w:t>
                  </w:r>
                </w:p>
              </w:tc>
              <w:tc>
                <w:tcPr>
                  <w:tcW w:w="688" w:type="pct"/>
                  <w:vMerge w:val="continue"/>
                  <w:tcBorders>
                    <w:left w:val="single" w:color="auto" w:sz="4" w:space="0"/>
                    <w:bottom w:val="single" w:color="auto" w:sz="4" w:space="0"/>
                    <w:right w:val="single" w:color="auto" w:sz="4" w:space="0"/>
                  </w:tcBorders>
                  <w:noWrap w:val="0"/>
                  <w:vAlign w:val="center"/>
                </w:tcPr>
                <w:p w14:paraId="25B8F691">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445" w:type="pct"/>
                  <w:vMerge w:val="continue"/>
                  <w:tcBorders>
                    <w:left w:val="single" w:color="auto" w:sz="4" w:space="0"/>
                    <w:bottom w:val="single" w:color="auto" w:sz="4" w:space="0"/>
                    <w:right w:val="single" w:color="auto" w:sz="4" w:space="0"/>
                  </w:tcBorders>
                  <w:noWrap w:val="0"/>
                  <w:vAlign w:val="center"/>
                </w:tcPr>
                <w:p w14:paraId="1B8BDA93">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601" w:type="pct"/>
                  <w:vMerge w:val="continue"/>
                  <w:tcBorders>
                    <w:left w:val="single" w:color="auto" w:sz="4" w:space="0"/>
                    <w:bottom w:val="single" w:color="auto" w:sz="4" w:space="0"/>
                    <w:right w:val="single" w:color="auto" w:sz="4" w:space="0"/>
                  </w:tcBorders>
                  <w:noWrap w:val="0"/>
                  <w:vAlign w:val="center"/>
                </w:tcPr>
                <w:p w14:paraId="6FAA1543">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819" w:type="pct"/>
                  <w:vMerge w:val="continue"/>
                  <w:tcBorders>
                    <w:left w:val="single" w:color="auto" w:sz="4" w:space="0"/>
                    <w:bottom w:val="single" w:color="auto" w:sz="4" w:space="0"/>
                    <w:right w:val="single" w:color="auto" w:sz="4" w:space="0"/>
                  </w:tcBorders>
                  <w:noWrap w:val="0"/>
                  <w:vAlign w:val="center"/>
                </w:tcPr>
                <w:p w14:paraId="4BE3068D">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523" w:type="pct"/>
                  <w:vMerge w:val="continue"/>
                  <w:tcBorders>
                    <w:left w:val="single" w:color="auto" w:sz="4" w:space="0"/>
                    <w:bottom w:val="single" w:color="auto" w:sz="4" w:space="0"/>
                    <w:right w:val="single" w:color="auto" w:sz="4" w:space="0"/>
                  </w:tcBorders>
                  <w:noWrap w:val="0"/>
                  <w:vAlign w:val="center"/>
                </w:tcPr>
                <w:p w14:paraId="7B6BCD22">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588" w:type="pct"/>
                  <w:vMerge w:val="continue"/>
                  <w:tcBorders>
                    <w:left w:val="single" w:color="auto" w:sz="4" w:space="0"/>
                    <w:bottom w:val="single" w:color="auto" w:sz="4" w:space="0"/>
                    <w:right w:val="single" w:color="auto" w:sz="4" w:space="0"/>
                  </w:tcBorders>
                  <w:noWrap w:val="0"/>
                  <w:vAlign w:val="center"/>
                </w:tcPr>
                <w:p w14:paraId="63714839">
                  <w:pPr>
                    <w:pStyle w:val="53"/>
                    <w:spacing w:line="240" w:lineRule="auto"/>
                    <w:ind w:firstLine="0" w:firstLineChars="0"/>
                    <w:contextualSpacing/>
                    <w:jc w:val="center"/>
                    <w:rPr>
                      <w:rFonts w:hint="default" w:ascii="Times New Roman" w:hAnsi="Times New Roman" w:eastAsia="宋体" w:cs="Times New Roman"/>
                      <w:color w:val="auto"/>
                      <w:szCs w:val="21"/>
                    </w:rPr>
                  </w:pPr>
                </w:p>
              </w:tc>
            </w:tr>
            <w:tr w14:paraId="3DF04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vMerge w:val="restart"/>
                  <w:tcBorders>
                    <w:left w:val="single" w:color="auto" w:sz="4" w:space="0"/>
                    <w:right w:val="single" w:color="auto" w:sz="4" w:space="0"/>
                  </w:tcBorders>
                  <w:noWrap w:val="0"/>
                  <w:vAlign w:val="center"/>
                </w:tcPr>
                <w:p w14:paraId="39055E10">
                  <w:pPr>
                    <w:pStyle w:val="53"/>
                    <w:spacing w:line="240" w:lineRule="auto"/>
                    <w:ind w:firstLine="0" w:firstLineChars="0"/>
                    <w:contextualSpacing/>
                    <w:jc w:val="center"/>
                    <w:rPr>
                      <w:rFonts w:hint="default"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eastAsia="zh-CN"/>
                    </w:rPr>
                    <w:t>环境空气</w:t>
                  </w:r>
                </w:p>
              </w:tc>
              <w:tc>
                <w:tcPr>
                  <w:tcW w:w="450" w:type="pct"/>
                  <w:tcBorders>
                    <w:left w:val="single" w:color="auto" w:sz="4" w:space="0"/>
                    <w:right w:val="single" w:color="auto" w:sz="4" w:space="0"/>
                  </w:tcBorders>
                  <w:noWrap w:val="0"/>
                  <w:vAlign w:val="center"/>
                </w:tcPr>
                <w:p w14:paraId="640B6EA4">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117.</w:t>
                  </w:r>
                  <w:r>
                    <w:rPr>
                      <w:rFonts w:hint="eastAsia" w:cs="Times New Roman"/>
                      <w:color w:val="auto"/>
                      <w:sz w:val="18"/>
                      <w:szCs w:val="18"/>
                      <w:lang w:val="en-US" w:eastAsia="zh-CN"/>
                    </w:rPr>
                    <w:t>455523</w:t>
                  </w:r>
                </w:p>
              </w:tc>
              <w:tc>
                <w:tcPr>
                  <w:tcW w:w="470" w:type="pct"/>
                  <w:tcBorders>
                    <w:left w:val="single" w:color="auto" w:sz="4" w:space="0"/>
                    <w:right w:val="single" w:color="auto" w:sz="4" w:space="0"/>
                  </w:tcBorders>
                  <w:noWrap w:val="0"/>
                  <w:vAlign w:val="center"/>
                </w:tcPr>
                <w:p w14:paraId="543B5F73">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32.</w:t>
                  </w:r>
                  <w:r>
                    <w:rPr>
                      <w:rFonts w:hint="eastAsia" w:cs="Times New Roman"/>
                      <w:color w:val="auto"/>
                      <w:sz w:val="18"/>
                      <w:szCs w:val="18"/>
                      <w:lang w:val="en-US" w:eastAsia="zh-CN"/>
                    </w:rPr>
                    <w:t>924994</w:t>
                  </w:r>
                </w:p>
              </w:tc>
              <w:tc>
                <w:tcPr>
                  <w:tcW w:w="688" w:type="pct"/>
                  <w:tcBorders>
                    <w:left w:val="single" w:color="auto" w:sz="4" w:space="0"/>
                    <w:right w:val="single" w:color="auto" w:sz="4" w:space="0"/>
                  </w:tcBorders>
                  <w:noWrap w:val="0"/>
                  <w:vAlign w:val="center"/>
                </w:tcPr>
                <w:p w14:paraId="11A570DB">
                  <w:pPr>
                    <w:pStyle w:val="53"/>
                    <w:spacing w:line="240" w:lineRule="auto"/>
                    <w:ind w:firstLine="0" w:firstLineChars="0"/>
                    <w:contextualSpacing/>
                    <w:jc w:val="center"/>
                    <w:rPr>
                      <w:rFonts w:hint="default" w:ascii="Times New Roman" w:hAnsi="Times New Roman" w:eastAsia="宋体" w:cs="Times New Roman"/>
                      <w:color w:val="auto"/>
                      <w:szCs w:val="21"/>
                      <w:lang w:eastAsia="zh-CN"/>
                    </w:rPr>
                  </w:pPr>
                  <w:r>
                    <w:rPr>
                      <w:rFonts w:hint="eastAsia" w:cs="Times New Roman"/>
                      <w:color w:val="auto"/>
                      <w:szCs w:val="21"/>
                      <w:lang w:eastAsia="zh-CN"/>
                    </w:rPr>
                    <w:t>龙湖雅苑</w:t>
                  </w:r>
                </w:p>
              </w:tc>
              <w:tc>
                <w:tcPr>
                  <w:tcW w:w="445" w:type="pct"/>
                  <w:tcBorders>
                    <w:left w:val="single" w:color="auto" w:sz="4" w:space="0"/>
                    <w:right w:val="single" w:color="auto" w:sz="4" w:space="0"/>
                  </w:tcBorders>
                  <w:noWrap w:val="0"/>
                  <w:vAlign w:val="center"/>
                </w:tcPr>
                <w:p w14:paraId="6B4A2FCC">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居民</w:t>
                  </w:r>
                </w:p>
              </w:tc>
              <w:tc>
                <w:tcPr>
                  <w:tcW w:w="601" w:type="pct"/>
                  <w:tcBorders>
                    <w:left w:val="single" w:color="auto" w:sz="4" w:space="0"/>
                    <w:right w:val="single" w:color="auto" w:sz="4" w:space="0"/>
                  </w:tcBorders>
                  <w:noWrap w:val="0"/>
                  <w:vAlign w:val="center"/>
                </w:tcPr>
                <w:p w14:paraId="225191CC">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953户，2859</w:t>
                  </w:r>
                  <w:r>
                    <w:rPr>
                      <w:rFonts w:hint="eastAsia" w:ascii="Times New Roman" w:hAnsi="Times New Roman" w:eastAsia="宋体" w:cs="Times New Roman"/>
                      <w:color w:val="auto"/>
                      <w:szCs w:val="21"/>
                      <w:lang w:val="en-US" w:eastAsia="zh-CN"/>
                    </w:rPr>
                    <w:t>人</w:t>
                  </w:r>
                </w:p>
              </w:tc>
              <w:tc>
                <w:tcPr>
                  <w:tcW w:w="819" w:type="pct"/>
                  <w:vMerge w:val="restart"/>
                  <w:tcBorders>
                    <w:left w:val="single" w:color="auto" w:sz="4" w:space="0"/>
                    <w:right w:val="single" w:color="auto" w:sz="4" w:space="0"/>
                  </w:tcBorders>
                  <w:noWrap w:val="0"/>
                  <w:vAlign w:val="center"/>
                </w:tcPr>
                <w:p w14:paraId="78728FDE">
                  <w:pPr>
                    <w:pStyle w:val="53"/>
                    <w:spacing w:line="240" w:lineRule="auto"/>
                    <w:ind w:firstLine="0" w:firstLineChars="0"/>
                    <w:contextualSpacing/>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《环境空气质量标准》（GB3095-2012）二级标准</w:t>
                  </w:r>
                </w:p>
              </w:tc>
              <w:tc>
                <w:tcPr>
                  <w:tcW w:w="523" w:type="pct"/>
                  <w:tcBorders>
                    <w:left w:val="single" w:color="auto" w:sz="4" w:space="0"/>
                    <w:right w:val="single" w:color="auto" w:sz="4" w:space="0"/>
                  </w:tcBorders>
                  <w:noWrap w:val="0"/>
                  <w:vAlign w:val="center"/>
                </w:tcPr>
                <w:p w14:paraId="66A9775C">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E</w:t>
                  </w:r>
                </w:p>
              </w:tc>
              <w:tc>
                <w:tcPr>
                  <w:tcW w:w="588" w:type="pct"/>
                  <w:tcBorders>
                    <w:left w:val="single" w:color="auto" w:sz="4" w:space="0"/>
                    <w:right w:val="single" w:color="auto" w:sz="4" w:space="0"/>
                  </w:tcBorders>
                  <w:noWrap w:val="0"/>
                  <w:vAlign w:val="center"/>
                </w:tcPr>
                <w:p w14:paraId="057C1536">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35</w:t>
                  </w:r>
                </w:p>
              </w:tc>
            </w:tr>
            <w:tr w14:paraId="05DA0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vMerge w:val="continue"/>
                  <w:tcBorders>
                    <w:left w:val="single" w:color="auto" w:sz="4" w:space="0"/>
                    <w:right w:val="single" w:color="auto" w:sz="4" w:space="0"/>
                  </w:tcBorders>
                  <w:noWrap w:val="0"/>
                  <w:vAlign w:val="center"/>
                </w:tcPr>
                <w:p w14:paraId="25865E75">
                  <w:pPr>
                    <w:pStyle w:val="53"/>
                    <w:spacing w:line="240" w:lineRule="auto"/>
                    <w:ind w:firstLine="0" w:firstLineChars="0"/>
                    <w:contextualSpacing/>
                    <w:jc w:val="center"/>
                    <w:rPr>
                      <w:rFonts w:hint="eastAsia" w:ascii="Times New Roman" w:hAnsi="Times New Roman" w:eastAsia="宋体" w:cs="Times New Roman"/>
                      <w:color w:val="auto"/>
                      <w:szCs w:val="21"/>
                      <w:lang w:eastAsia="zh-CN"/>
                    </w:rPr>
                  </w:pPr>
                </w:p>
              </w:tc>
              <w:tc>
                <w:tcPr>
                  <w:tcW w:w="450" w:type="pct"/>
                  <w:tcBorders>
                    <w:left w:val="single" w:color="auto" w:sz="4" w:space="0"/>
                    <w:right w:val="single" w:color="auto" w:sz="4" w:space="0"/>
                  </w:tcBorders>
                  <w:noWrap w:val="0"/>
                  <w:vAlign w:val="center"/>
                </w:tcPr>
                <w:p w14:paraId="266700AD">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117.455821</w:t>
                  </w:r>
                </w:p>
              </w:tc>
              <w:tc>
                <w:tcPr>
                  <w:tcW w:w="470" w:type="pct"/>
                  <w:tcBorders>
                    <w:left w:val="single" w:color="auto" w:sz="4" w:space="0"/>
                    <w:right w:val="single" w:color="auto" w:sz="4" w:space="0"/>
                  </w:tcBorders>
                  <w:noWrap w:val="0"/>
                  <w:vAlign w:val="center"/>
                </w:tcPr>
                <w:p w14:paraId="5BFDA348">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32.926586</w:t>
                  </w:r>
                </w:p>
              </w:tc>
              <w:tc>
                <w:tcPr>
                  <w:tcW w:w="688" w:type="pct"/>
                  <w:tcBorders>
                    <w:left w:val="single" w:color="auto" w:sz="4" w:space="0"/>
                    <w:right w:val="single" w:color="auto" w:sz="4" w:space="0"/>
                  </w:tcBorders>
                  <w:noWrap w:val="0"/>
                  <w:vAlign w:val="center"/>
                </w:tcPr>
                <w:p w14:paraId="22578E67">
                  <w:pPr>
                    <w:pStyle w:val="53"/>
                    <w:spacing w:line="240" w:lineRule="auto"/>
                    <w:ind w:firstLine="0" w:firstLineChars="0"/>
                    <w:contextualSpacing/>
                    <w:jc w:val="center"/>
                    <w:rPr>
                      <w:rFonts w:hint="eastAsia" w:cs="Times New Roman"/>
                      <w:color w:val="auto"/>
                      <w:szCs w:val="21"/>
                      <w:lang w:eastAsia="zh-CN"/>
                    </w:rPr>
                  </w:pPr>
                  <w:r>
                    <w:rPr>
                      <w:rFonts w:hint="eastAsia" w:cs="Times New Roman"/>
                      <w:color w:val="auto"/>
                      <w:szCs w:val="21"/>
                      <w:lang w:eastAsia="zh-CN"/>
                    </w:rPr>
                    <w:t>龙淮花园</w:t>
                  </w:r>
                </w:p>
              </w:tc>
              <w:tc>
                <w:tcPr>
                  <w:tcW w:w="445" w:type="pct"/>
                  <w:tcBorders>
                    <w:left w:val="single" w:color="auto" w:sz="4" w:space="0"/>
                    <w:right w:val="single" w:color="auto" w:sz="4" w:space="0"/>
                  </w:tcBorders>
                  <w:noWrap w:val="0"/>
                  <w:vAlign w:val="center"/>
                </w:tcPr>
                <w:p w14:paraId="46E94269">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居民</w:t>
                  </w:r>
                </w:p>
              </w:tc>
              <w:tc>
                <w:tcPr>
                  <w:tcW w:w="601" w:type="pct"/>
                  <w:tcBorders>
                    <w:left w:val="single" w:color="auto" w:sz="4" w:space="0"/>
                    <w:right w:val="single" w:color="auto" w:sz="4" w:space="0"/>
                  </w:tcBorders>
                  <w:noWrap w:val="0"/>
                  <w:vAlign w:val="center"/>
                </w:tcPr>
                <w:p w14:paraId="211CFB6A">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804户，2412人</w:t>
                  </w:r>
                </w:p>
              </w:tc>
              <w:tc>
                <w:tcPr>
                  <w:tcW w:w="819" w:type="pct"/>
                  <w:vMerge w:val="continue"/>
                  <w:tcBorders>
                    <w:left w:val="single" w:color="auto" w:sz="4" w:space="0"/>
                    <w:right w:val="single" w:color="auto" w:sz="4" w:space="0"/>
                  </w:tcBorders>
                  <w:noWrap w:val="0"/>
                  <w:vAlign w:val="center"/>
                </w:tcPr>
                <w:p w14:paraId="73B6B6A3">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523" w:type="pct"/>
                  <w:tcBorders>
                    <w:left w:val="single" w:color="auto" w:sz="4" w:space="0"/>
                    <w:right w:val="single" w:color="auto" w:sz="4" w:space="0"/>
                  </w:tcBorders>
                  <w:noWrap w:val="0"/>
                  <w:vAlign w:val="center"/>
                </w:tcPr>
                <w:p w14:paraId="56E75B79">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NE</w:t>
                  </w:r>
                </w:p>
              </w:tc>
              <w:tc>
                <w:tcPr>
                  <w:tcW w:w="588" w:type="pct"/>
                  <w:tcBorders>
                    <w:left w:val="single" w:color="auto" w:sz="4" w:space="0"/>
                    <w:right w:val="single" w:color="auto" w:sz="4" w:space="0"/>
                  </w:tcBorders>
                  <w:noWrap w:val="0"/>
                  <w:vAlign w:val="center"/>
                </w:tcPr>
                <w:p w14:paraId="4B81A65A">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95</w:t>
                  </w:r>
                </w:p>
              </w:tc>
            </w:tr>
            <w:tr w14:paraId="07E8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vMerge w:val="continue"/>
                  <w:tcBorders>
                    <w:left w:val="single" w:color="auto" w:sz="4" w:space="0"/>
                    <w:right w:val="single" w:color="auto" w:sz="4" w:space="0"/>
                  </w:tcBorders>
                  <w:noWrap w:val="0"/>
                  <w:vAlign w:val="center"/>
                </w:tcPr>
                <w:p w14:paraId="60962995">
                  <w:pPr>
                    <w:pStyle w:val="53"/>
                    <w:spacing w:line="240" w:lineRule="auto"/>
                    <w:ind w:firstLine="0" w:firstLineChars="0"/>
                    <w:contextualSpacing/>
                    <w:jc w:val="center"/>
                    <w:rPr>
                      <w:rFonts w:hint="eastAsia" w:ascii="Times New Roman" w:hAnsi="Times New Roman" w:eastAsia="宋体" w:cs="Times New Roman"/>
                      <w:color w:val="auto"/>
                      <w:szCs w:val="21"/>
                      <w:lang w:eastAsia="zh-CN"/>
                    </w:rPr>
                  </w:pPr>
                </w:p>
              </w:tc>
              <w:tc>
                <w:tcPr>
                  <w:tcW w:w="450" w:type="pct"/>
                  <w:tcBorders>
                    <w:left w:val="single" w:color="auto" w:sz="4" w:space="0"/>
                    <w:right w:val="single" w:color="auto" w:sz="4" w:space="0"/>
                  </w:tcBorders>
                  <w:noWrap w:val="0"/>
                  <w:vAlign w:val="center"/>
                </w:tcPr>
                <w:p w14:paraId="1C3FE937">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117.451873</w:t>
                  </w:r>
                </w:p>
              </w:tc>
              <w:tc>
                <w:tcPr>
                  <w:tcW w:w="470" w:type="pct"/>
                  <w:tcBorders>
                    <w:left w:val="single" w:color="auto" w:sz="4" w:space="0"/>
                    <w:right w:val="single" w:color="auto" w:sz="4" w:space="0"/>
                  </w:tcBorders>
                  <w:noWrap w:val="0"/>
                  <w:vAlign w:val="center"/>
                </w:tcPr>
                <w:p w14:paraId="28A3002A">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32.923507</w:t>
                  </w:r>
                </w:p>
              </w:tc>
              <w:tc>
                <w:tcPr>
                  <w:tcW w:w="688" w:type="pct"/>
                  <w:tcBorders>
                    <w:left w:val="single" w:color="auto" w:sz="4" w:space="0"/>
                    <w:right w:val="single" w:color="auto" w:sz="4" w:space="0"/>
                  </w:tcBorders>
                  <w:noWrap w:val="0"/>
                  <w:vAlign w:val="center"/>
                </w:tcPr>
                <w:p w14:paraId="2F02DC82">
                  <w:pPr>
                    <w:pStyle w:val="53"/>
                    <w:spacing w:line="240" w:lineRule="auto"/>
                    <w:ind w:firstLine="0" w:firstLineChars="0"/>
                    <w:contextualSpacing/>
                    <w:jc w:val="center"/>
                    <w:rPr>
                      <w:rFonts w:hint="eastAsia" w:cs="Times New Roman"/>
                      <w:color w:val="auto"/>
                      <w:szCs w:val="21"/>
                      <w:lang w:eastAsia="zh-CN"/>
                    </w:rPr>
                  </w:pPr>
                  <w:r>
                    <w:rPr>
                      <w:rFonts w:hint="eastAsia" w:cs="Times New Roman"/>
                      <w:color w:val="auto"/>
                      <w:szCs w:val="21"/>
                      <w:lang w:eastAsia="zh-CN"/>
                    </w:rPr>
                    <w:t>中梁拓基紫金云城</w:t>
                  </w:r>
                </w:p>
              </w:tc>
              <w:tc>
                <w:tcPr>
                  <w:tcW w:w="445" w:type="pct"/>
                  <w:tcBorders>
                    <w:left w:val="single" w:color="auto" w:sz="4" w:space="0"/>
                    <w:right w:val="single" w:color="auto" w:sz="4" w:space="0"/>
                  </w:tcBorders>
                  <w:noWrap w:val="0"/>
                  <w:vAlign w:val="center"/>
                </w:tcPr>
                <w:p w14:paraId="71ABD112">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居民</w:t>
                  </w:r>
                </w:p>
              </w:tc>
              <w:tc>
                <w:tcPr>
                  <w:tcW w:w="601" w:type="pct"/>
                  <w:tcBorders>
                    <w:left w:val="single" w:color="auto" w:sz="4" w:space="0"/>
                    <w:right w:val="single" w:color="auto" w:sz="4" w:space="0"/>
                  </w:tcBorders>
                  <w:noWrap w:val="0"/>
                  <w:vAlign w:val="center"/>
                </w:tcPr>
                <w:p w14:paraId="488636EB">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2084户，6252人</w:t>
                  </w:r>
                </w:p>
              </w:tc>
              <w:tc>
                <w:tcPr>
                  <w:tcW w:w="819" w:type="pct"/>
                  <w:vMerge w:val="continue"/>
                  <w:tcBorders>
                    <w:left w:val="single" w:color="auto" w:sz="4" w:space="0"/>
                    <w:right w:val="single" w:color="auto" w:sz="4" w:space="0"/>
                  </w:tcBorders>
                  <w:noWrap w:val="0"/>
                  <w:vAlign w:val="center"/>
                </w:tcPr>
                <w:p w14:paraId="33D30182">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523" w:type="pct"/>
                  <w:tcBorders>
                    <w:left w:val="single" w:color="auto" w:sz="4" w:space="0"/>
                    <w:right w:val="single" w:color="auto" w:sz="4" w:space="0"/>
                  </w:tcBorders>
                  <w:noWrap w:val="0"/>
                  <w:vAlign w:val="center"/>
                </w:tcPr>
                <w:p w14:paraId="39ABC29D">
                  <w:pPr>
                    <w:pStyle w:val="53"/>
                    <w:spacing w:line="240" w:lineRule="auto"/>
                    <w:ind w:firstLine="0" w:firstLineChars="0"/>
                    <w:contextualSpacing/>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SW</w:t>
                  </w:r>
                </w:p>
              </w:tc>
              <w:tc>
                <w:tcPr>
                  <w:tcW w:w="588" w:type="pct"/>
                  <w:tcBorders>
                    <w:left w:val="single" w:color="auto" w:sz="4" w:space="0"/>
                    <w:right w:val="single" w:color="auto" w:sz="4" w:space="0"/>
                  </w:tcBorders>
                  <w:noWrap w:val="0"/>
                  <w:vAlign w:val="center"/>
                </w:tcPr>
                <w:p w14:paraId="09EAF24A">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160</w:t>
                  </w:r>
                </w:p>
              </w:tc>
            </w:tr>
            <w:tr w14:paraId="7C7A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vMerge w:val="continue"/>
                  <w:tcBorders>
                    <w:left w:val="single" w:color="auto" w:sz="4" w:space="0"/>
                    <w:right w:val="single" w:color="auto" w:sz="4" w:space="0"/>
                  </w:tcBorders>
                  <w:noWrap w:val="0"/>
                  <w:vAlign w:val="center"/>
                </w:tcPr>
                <w:p w14:paraId="17BC4D75">
                  <w:pPr>
                    <w:pStyle w:val="53"/>
                    <w:spacing w:line="240" w:lineRule="auto"/>
                    <w:ind w:firstLine="0" w:firstLineChars="0"/>
                    <w:contextualSpacing/>
                    <w:jc w:val="center"/>
                    <w:rPr>
                      <w:rFonts w:hint="eastAsia" w:ascii="Times New Roman" w:hAnsi="Times New Roman" w:eastAsia="宋体" w:cs="Times New Roman"/>
                      <w:color w:val="auto"/>
                      <w:szCs w:val="21"/>
                      <w:lang w:eastAsia="zh-CN"/>
                    </w:rPr>
                  </w:pPr>
                </w:p>
              </w:tc>
              <w:tc>
                <w:tcPr>
                  <w:tcW w:w="450" w:type="pct"/>
                  <w:tcBorders>
                    <w:left w:val="single" w:color="auto" w:sz="4" w:space="0"/>
                    <w:right w:val="single" w:color="auto" w:sz="4" w:space="0"/>
                  </w:tcBorders>
                  <w:noWrap w:val="0"/>
                  <w:vAlign w:val="center"/>
                </w:tcPr>
                <w:p w14:paraId="14CFA7A6">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117.454676</w:t>
                  </w:r>
                </w:p>
              </w:tc>
              <w:tc>
                <w:tcPr>
                  <w:tcW w:w="470" w:type="pct"/>
                  <w:tcBorders>
                    <w:left w:val="single" w:color="auto" w:sz="4" w:space="0"/>
                    <w:right w:val="single" w:color="auto" w:sz="4" w:space="0"/>
                  </w:tcBorders>
                  <w:noWrap w:val="0"/>
                  <w:vAlign w:val="center"/>
                </w:tcPr>
                <w:p w14:paraId="4990E70E">
                  <w:pPr>
                    <w:pStyle w:val="53"/>
                    <w:spacing w:line="240" w:lineRule="auto"/>
                    <w:ind w:firstLine="0" w:firstLineChars="0"/>
                    <w:contextualSpacing/>
                    <w:jc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32.921053</w:t>
                  </w:r>
                </w:p>
              </w:tc>
              <w:tc>
                <w:tcPr>
                  <w:tcW w:w="688" w:type="pct"/>
                  <w:tcBorders>
                    <w:left w:val="single" w:color="auto" w:sz="4" w:space="0"/>
                    <w:right w:val="single" w:color="auto" w:sz="4" w:space="0"/>
                  </w:tcBorders>
                  <w:noWrap w:val="0"/>
                  <w:vAlign w:val="center"/>
                </w:tcPr>
                <w:p w14:paraId="1CB59BCA">
                  <w:pPr>
                    <w:pStyle w:val="53"/>
                    <w:spacing w:line="240" w:lineRule="auto"/>
                    <w:ind w:firstLine="0" w:firstLineChars="0"/>
                    <w:contextualSpacing/>
                    <w:jc w:val="center"/>
                    <w:rPr>
                      <w:rFonts w:hint="eastAsia" w:cs="Times New Roman"/>
                      <w:color w:val="auto"/>
                      <w:szCs w:val="21"/>
                      <w:lang w:eastAsia="zh-CN"/>
                    </w:rPr>
                  </w:pPr>
                  <w:r>
                    <w:rPr>
                      <w:rFonts w:hint="eastAsia" w:cs="Times New Roman"/>
                      <w:color w:val="auto"/>
                      <w:szCs w:val="21"/>
                      <w:lang w:eastAsia="zh-CN"/>
                    </w:rPr>
                    <w:t>古杏嘉苑</w:t>
                  </w:r>
                </w:p>
              </w:tc>
              <w:tc>
                <w:tcPr>
                  <w:tcW w:w="445" w:type="pct"/>
                  <w:tcBorders>
                    <w:left w:val="single" w:color="auto" w:sz="4" w:space="0"/>
                    <w:right w:val="single" w:color="auto" w:sz="4" w:space="0"/>
                  </w:tcBorders>
                  <w:noWrap w:val="0"/>
                  <w:vAlign w:val="center"/>
                </w:tcPr>
                <w:p w14:paraId="72D5CD94">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居民</w:t>
                  </w:r>
                </w:p>
              </w:tc>
              <w:tc>
                <w:tcPr>
                  <w:tcW w:w="601" w:type="pct"/>
                  <w:tcBorders>
                    <w:left w:val="single" w:color="auto" w:sz="4" w:space="0"/>
                    <w:right w:val="single" w:color="auto" w:sz="4" w:space="0"/>
                  </w:tcBorders>
                  <w:noWrap w:val="0"/>
                  <w:vAlign w:val="center"/>
                </w:tcPr>
                <w:p w14:paraId="1224D6F7">
                  <w:pPr>
                    <w:pStyle w:val="53"/>
                    <w:spacing w:line="240" w:lineRule="auto"/>
                    <w:ind w:firstLine="0" w:firstLineChars="0"/>
                    <w:contextualSpacing/>
                    <w:jc w:val="center"/>
                    <w:rPr>
                      <w:rFonts w:hint="eastAsia" w:cs="Times New Roman"/>
                      <w:color w:val="auto"/>
                      <w:szCs w:val="21"/>
                      <w:lang w:val="en-US" w:eastAsia="zh-CN"/>
                    </w:rPr>
                  </w:pPr>
                  <w:r>
                    <w:rPr>
                      <w:rFonts w:hint="eastAsia" w:cs="Times New Roman"/>
                      <w:color w:val="auto"/>
                      <w:szCs w:val="21"/>
                      <w:lang w:val="en-US" w:eastAsia="zh-CN"/>
                    </w:rPr>
                    <w:t>70户，210人</w:t>
                  </w:r>
                </w:p>
              </w:tc>
              <w:tc>
                <w:tcPr>
                  <w:tcW w:w="819" w:type="pct"/>
                  <w:vMerge w:val="continue"/>
                  <w:tcBorders>
                    <w:left w:val="single" w:color="auto" w:sz="4" w:space="0"/>
                    <w:right w:val="single" w:color="auto" w:sz="4" w:space="0"/>
                  </w:tcBorders>
                  <w:noWrap w:val="0"/>
                  <w:vAlign w:val="center"/>
                </w:tcPr>
                <w:p w14:paraId="5343698D">
                  <w:pPr>
                    <w:pStyle w:val="53"/>
                    <w:spacing w:line="240" w:lineRule="auto"/>
                    <w:ind w:firstLine="0" w:firstLineChars="0"/>
                    <w:contextualSpacing/>
                    <w:jc w:val="center"/>
                    <w:rPr>
                      <w:rFonts w:hint="default" w:ascii="Times New Roman" w:hAnsi="Times New Roman" w:eastAsia="宋体" w:cs="Times New Roman"/>
                      <w:color w:val="auto"/>
                      <w:szCs w:val="21"/>
                    </w:rPr>
                  </w:pPr>
                </w:p>
              </w:tc>
              <w:tc>
                <w:tcPr>
                  <w:tcW w:w="523" w:type="pct"/>
                  <w:tcBorders>
                    <w:left w:val="single" w:color="auto" w:sz="4" w:space="0"/>
                    <w:right w:val="single" w:color="auto" w:sz="4" w:space="0"/>
                  </w:tcBorders>
                  <w:noWrap w:val="0"/>
                  <w:vAlign w:val="center"/>
                </w:tcPr>
                <w:p w14:paraId="60AE701A">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SE</w:t>
                  </w:r>
                </w:p>
              </w:tc>
              <w:tc>
                <w:tcPr>
                  <w:tcW w:w="588" w:type="pct"/>
                  <w:tcBorders>
                    <w:left w:val="single" w:color="auto" w:sz="4" w:space="0"/>
                    <w:right w:val="single" w:color="auto" w:sz="4" w:space="0"/>
                  </w:tcBorders>
                  <w:noWrap w:val="0"/>
                  <w:vAlign w:val="center"/>
                </w:tcPr>
                <w:p w14:paraId="373CDF9E">
                  <w:pPr>
                    <w:pStyle w:val="53"/>
                    <w:spacing w:line="240" w:lineRule="auto"/>
                    <w:ind w:firstLine="0" w:firstLineChars="0"/>
                    <w:contextualSpacing/>
                    <w:jc w:val="center"/>
                    <w:rPr>
                      <w:rFonts w:hint="default" w:cs="Times New Roman"/>
                      <w:color w:val="auto"/>
                      <w:szCs w:val="21"/>
                      <w:lang w:val="en-US" w:eastAsia="zh-CN"/>
                    </w:rPr>
                  </w:pPr>
                  <w:r>
                    <w:rPr>
                      <w:rFonts w:hint="eastAsia" w:cs="Times New Roman"/>
                      <w:color w:val="auto"/>
                      <w:szCs w:val="21"/>
                      <w:lang w:val="en-US" w:eastAsia="zh-CN"/>
                    </w:rPr>
                    <w:t>445</w:t>
                  </w:r>
                </w:p>
              </w:tc>
            </w:tr>
            <w:tr w14:paraId="62CC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10" w:type="pct"/>
                  <w:tcBorders>
                    <w:left w:val="single" w:color="auto" w:sz="4" w:space="0"/>
                    <w:right w:val="single" w:color="auto" w:sz="4" w:space="0"/>
                  </w:tcBorders>
                  <w:shd w:val="clear" w:color="auto" w:fill="auto"/>
                  <w:noWrap w:val="0"/>
                  <w:vAlign w:val="center"/>
                </w:tcPr>
                <w:p w14:paraId="3E5B6139">
                  <w:pPr>
                    <w:pStyle w:val="53"/>
                    <w:spacing w:line="240" w:lineRule="auto"/>
                    <w:ind w:firstLine="0" w:firstLineChars="0"/>
                    <w:contextualSpacing/>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声环境</w:t>
                  </w:r>
                </w:p>
              </w:tc>
              <w:tc>
                <w:tcPr>
                  <w:tcW w:w="450" w:type="pct"/>
                  <w:tcBorders>
                    <w:left w:val="single" w:color="auto" w:sz="4" w:space="0"/>
                    <w:right w:val="single" w:color="auto" w:sz="4" w:space="0"/>
                  </w:tcBorders>
                  <w:shd w:val="clear" w:color="auto" w:fill="auto"/>
                  <w:noWrap w:val="0"/>
                  <w:vAlign w:val="center"/>
                </w:tcPr>
                <w:p w14:paraId="16C3EE3B">
                  <w:pPr>
                    <w:pStyle w:val="53"/>
                    <w:spacing w:line="240" w:lineRule="auto"/>
                    <w:ind w:firstLine="0" w:firstLineChars="0"/>
                    <w:contextualSpacing/>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117.</w:t>
                  </w:r>
                  <w:r>
                    <w:rPr>
                      <w:rFonts w:hint="eastAsia" w:cs="Times New Roman"/>
                      <w:color w:val="auto"/>
                      <w:sz w:val="18"/>
                      <w:szCs w:val="18"/>
                      <w:lang w:val="en-US" w:eastAsia="zh-CN"/>
                    </w:rPr>
                    <w:t>455523</w:t>
                  </w:r>
                </w:p>
              </w:tc>
              <w:tc>
                <w:tcPr>
                  <w:tcW w:w="470" w:type="pct"/>
                  <w:tcBorders>
                    <w:left w:val="single" w:color="auto" w:sz="4" w:space="0"/>
                    <w:right w:val="single" w:color="auto" w:sz="4" w:space="0"/>
                  </w:tcBorders>
                  <w:shd w:val="clear" w:color="auto" w:fill="auto"/>
                  <w:noWrap w:val="0"/>
                  <w:vAlign w:val="center"/>
                </w:tcPr>
                <w:p w14:paraId="46825658">
                  <w:pPr>
                    <w:pStyle w:val="53"/>
                    <w:spacing w:line="240" w:lineRule="auto"/>
                    <w:ind w:firstLine="0" w:firstLineChars="0"/>
                    <w:contextualSpacing/>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32.</w:t>
                  </w:r>
                  <w:r>
                    <w:rPr>
                      <w:rFonts w:hint="eastAsia" w:cs="Times New Roman"/>
                      <w:color w:val="auto"/>
                      <w:sz w:val="18"/>
                      <w:szCs w:val="18"/>
                      <w:lang w:val="en-US" w:eastAsia="zh-CN"/>
                    </w:rPr>
                    <w:t>924994</w:t>
                  </w:r>
                </w:p>
              </w:tc>
              <w:tc>
                <w:tcPr>
                  <w:tcW w:w="688" w:type="pct"/>
                  <w:tcBorders>
                    <w:left w:val="single" w:color="auto" w:sz="4" w:space="0"/>
                    <w:right w:val="single" w:color="auto" w:sz="4" w:space="0"/>
                  </w:tcBorders>
                  <w:shd w:val="clear" w:color="auto" w:fill="auto"/>
                  <w:noWrap w:val="0"/>
                  <w:vAlign w:val="center"/>
                </w:tcPr>
                <w:p w14:paraId="6CEF7D88">
                  <w:pPr>
                    <w:pStyle w:val="53"/>
                    <w:spacing w:line="240" w:lineRule="auto"/>
                    <w:ind w:firstLine="0" w:firstLineChars="0"/>
                    <w:contextualSpacing/>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龙湖雅苑</w:t>
                  </w:r>
                </w:p>
              </w:tc>
              <w:tc>
                <w:tcPr>
                  <w:tcW w:w="445" w:type="pct"/>
                  <w:tcBorders>
                    <w:left w:val="single" w:color="auto" w:sz="4" w:space="0"/>
                    <w:right w:val="single" w:color="auto" w:sz="4" w:space="0"/>
                  </w:tcBorders>
                  <w:shd w:val="clear" w:color="auto" w:fill="auto"/>
                  <w:noWrap w:val="0"/>
                  <w:vAlign w:val="center"/>
                </w:tcPr>
                <w:p w14:paraId="6151D292">
                  <w:pPr>
                    <w:pStyle w:val="53"/>
                    <w:spacing w:line="240" w:lineRule="auto"/>
                    <w:ind w:firstLine="0" w:firstLineChars="0"/>
                    <w:contextualSpacing/>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Cs w:val="21"/>
                      <w:lang w:val="en-US" w:eastAsia="zh-CN"/>
                    </w:rPr>
                    <w:t>居民</w:t>
                  </w:r>
                </w:p>
              </w:tc>
              <w:tc>
                <w:tcPr>
                  <w:tcW w:w="601" w:type="pct"/>
                  <w:tcBorders>
                    <w:left w:val="single" w:color="auto" w:sz="4" w:space="0"/>
                    <w:right w:val="single" w:color="auto" w:sz="4" w:space="0"/>
                  </w:tcBorders>
                  <w:shd w:val="clear" w:color="auto" w:fill="auto"/>
                  <w:noWrap w:val="0"/>
                  <w:vAlign w:val="center"/>
                </w:tcPr>
                <w:p w14:paraId="179005A2">
                  <w:pPr>
                    <w:pStyle w:val="53"/>
                    <w:spacing w:line="240" w:lineRule="auto"/>
                    <w:ind w:firstLine="0" w:firstLineChars="0"/>
                    <w:contextualSpacing/>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Cs w:val="21"/>
                      <w:lang w:val="en-US" w:eastAsia="zh-CN"/>
                    </w:rPr>
                    <w:t>约</w:t>
                  </w:r>
                  <w:r>
                    <w:rPr>
                      <w:rFonts w:hint="eastAsia" w:cs="Times New Roman"/>
                      <w:color w:val="auto"/>
                      <w:szCs w:val="21"/>
                      <w:lang w:val="en-US" w:eastAsia="zh-CN"/>
                    </w:rPr>
                    <w:t>800户，240</w:t>
                  </w:r>
                  <w:r>
                    <w:rPr>
                      <w:rFonts w:hint="eastAsia" w:ascii="Times New Roman" w:hAnsi="Times New Roman" w:eastAsia="宋体" w:cs="Times New Roman"/>
                      <w:color w:val="auto"/>
                      <w:szCs w:val="21"/>
                      <w:lang w:val="en-US" w:eastAsia="zh-CN"/>
                    </w:rPr>
                    <w:t>0人</w:t>
                  </w:r>
                </w:p>
              </w:tc>
              <w:tc>
                <w:tcPr>
                  <w:tcW w:w="819" w:type="pct"/>
                  <w:tcBorders>
                    <w:left w:val="single" w:color="auto" w:sz="4" w:space="0"/>
                    <w:right w:val="single" w:color="auto" w:sz="4" w:space="0"/>
                  </w:tcBorders>
                  <w:shd w:val="clear" w:color="auto" w:fill="auto"/>
                  <w:noWrap w:val="0"/>
                  <w:vAlign w:val="center"/>
                </w:tcPr>
                <w:p w14:paraId="6AC2F86A">
                  <w:pPr>
                    <w:pStyle w:val="53"/>
                    <w:spacing w:line="240" w:lineRule="auto"/>
                    <w:ind w:firstLine="0" w:firstLineChars="0"/>
                    <w:contextualSpacing/>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《环境空气质量标准》（GB3095-2012）二级标准</w:t>
                  </w:r>
                </w:p>
              </w:tc>
              <w:tc>
                <w:tcPr>
                  <w:tcW w:w="523" w:type="pct"/>
                  <w:tcBorders>
                    <w:left w:val="single" w:color="auto" w:sz="4" w:space="0"/>
                    <w:right w:val="single" w:color="auto" w:sz="4" w:space="0"/>
                  </w:tcBorders>
                  <w:shd w:val="clear" w:color="auto" w:fill="auto"/>
                  <w:noWrap w:val="0"/>
                  <w:vAlign w:val="center"/>
                </w:tcPr>
                <w:p w14:paraId="5B2AA69A">
                  <w:pPr>
                    <w:pStyle w:val="53"/>
                    <w:spacing w:line="240" w:lineRule="auto"/>
                    <w:ind w:firstLine="0" w:firstLineChars="0"/>
                    <w:contextualSpacing/>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Cs w:val="21"/>
                      <w:lang w:val="en-US" w:eastAsia="zh-CN"/>
                    </w:rPr>
                    <w:t>E</w:t>
                  </w:r>
                </w:p>
              </w:tc>
              <w:tc>
                <w:tcPr>
                  <w:tcW w:w="588" w:type="pct"/>
                  <w:tcBorders>
                    <w:left w:val="single" w:color="auto" w:sz="4" w:space="0"/>
                    <w:right w:val="single" w:color="auto" w:sz="4" w:space="0"/>
                  </w:tcBorders>
                  <w:shd w:val="clear" w:color="auto" w:fill="auto"/>
                  <w:noWrap w:val="0"/>
                  <w:vAlign w:val="center"/>
                </w:tcPr>
                <w:p w14:paraId="064C14D8">
                  <w:pPr>
                    <w:pStyle w:val="53"/>
                    <w:spacing w:line="240" w:lineRule="auto"/>
                    <w:ind w:firstLine="0" w:firstLineChars="0"/>
                    <w:contextualSpacing/>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35</w:t>
                  </w:r>
                </w:p>
              </w:tc>
            </w:tr>
          </w:tbl>
          <w:p w14:paraId="21A7C2C4">
            <w:pPr>
              <w:pStyle w:val="22"/>
              <w:rPr>
                <w:rFonts w:hint="default"/>
                <w:lang w:val="en-US" w:eastAsia="zh-CN"/>
              </w:rPr>
            </w:pPr>
          </w:p>
        </w:tc>
      </w:tr>
      <w:tr w14:paraId="39053A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4" w:type="dxa"/>
            <w:shd w:val="clear" w:color="auto" w:fill="auto"/>
            <w:noWrap w:val="0"/>
            <w:vAlign w:val="center"/>
          </w:tcPr>
          <w:p w14:paraId="063A9343">
            <w:pPr>
              <w:adjustRightInd w:val="0"/>
              <w:snapToGrid w:val="0"/>
              <w:spacing w:line="240" w:lineRule="auto"/>
              <w:ind w:firstLine="0" w:firstLineChars="0"/>
              <w:jc w:val="center"/>
              <w:rPr>
                <w:rFonts w:hint="default" w:ascii="Times New Roman" w:hAnsi="Times New Roman" w:eastAsia="宋体" w:cs="Times New Roman"/>
                <w:color w:val="auto"/>
                <w:kern w:val="0"/>
                <w:sz w:val="24"/>
                <w:szCs w:val="21"/>
                <w:lang w:val="en-US" w:eastAsia="zh-CN" w:bidi="ar-SA"/>
              </w:rPr>
            </w:pPr>
            <w:r>
              <w:rPr>
                <w:rFonts w:hint="default" w:ascii="Times New Roman" w:hAnsi="Times New Roman" w:eastAsia="宋体" w:cs="Times New Roman"/>
                <w:color w:val="auto"/>
                <w:kern w:val="0"/>
                <w:szCs w:val="21"/>
              </w:rPr>
              <w:t>污染物排放控制标准</w:t>
            </w:r>
          </w:p>
        </w:tc>
        <w:tc>
          <w:tcPr>
            <w:tcW w:w="8048" w:type="dxa"/>
            <w:shd w:val="clear" w:color="auto" w:fill="auto"/>
            <w:noWrap w:val="0"/>
            <w:vAlign w:val="top"/>
          </w:tcPr>
          <w:p w14:paraId="6067CCD4">
            <w:pPr>
              <w:pStyle w:val="54"/>
              <w:ind w:firstLine="0" w:firstLineChars="0"/>
              <w:rPr>
                <w:rFonts w:hint="default" w:ascii="Times New Roman" w:hAnsi="Times New Roman" w:eastAsia="宋体" w:cs="Times New Roman"/>
                <w:b/>
                <w:bCs/>
                <w:color w:val="auto"/>
                <w:kern w:val="2"/>
                <w:sz w:val="24"/>
                <w:szCs w:val="30"/>
                <w:lang w:val="en-US" w:eastAsia="zh-CN" w:bidi="ar-SA"/>
              </w:rPr>
            </w:pPr>
            <w:r>
              <w:rPr>
                <w:rFonts w:hint="eastAsia" w:cs="Times New Roman"/>
                <w:color w:val="auto"/>
                <w:lang w:eastAsia="zh-CN"/>
              </w:rPr>
              <w:t>一、</w:t>
            </w:r>
            <w:r>
              <w:rPr>
                <w:rFonts w:hint="default" w:ascii="Times New Roman" w:hAnsi="Times New Roman" w:eastAsia="宋体" w:cs="Times New Roman"/>
                <w:b/>
                <w:bCs/>
                <w:color w:val="auto"/>
                <w:kern w:val="2"/>
                <w:sz w:val="24"/>
                <w:szCs w:val="30"/>
                <w:lang w:val="en-US" w:eastAsia="zh-CN" w:bidi="ar-SA"/>
              </w:rPr>
              <w:t>废气排放标准</w:t>
            </w:r>
          </w:p>
          <w:p w14:paraId="4C952EE9">
            <w:pPr>
              <w:adjustRightInd w:val="0"/>
              <w:snapToGrid w:val="0"/>
              <w:spacing w:line="360" w:lineRule="auto"/>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本项目注塑、喷漆工序产生的非甲烷总烃执行《固定源挥发性有机物综合排放标准 第6部分：其他行业》（DB34/4812.6-2024）表1和表4标准限制要求</w:t>
            </w:r>
            <w:r>
              <w:rPr>
                <w:rFonts w:hint="eastAsia" w:ascii="Times New Roman" w:hAnsi="Times New Roman" w:cs="Times New Roman"/>
                <w:sz w:val="24"/>
                <w:lang w:val="en-GB" w:eastAsia="zh-CN"/>
              </w:rPr>
              <w:t>；喷漆工序产生的颗粒物执行</w:t>
            </w:r>
            <w:r>
              <w:rPr>
                <w:rFonts w:hint="eastAsia" w:ascii="Times New Roman" w:hAnsi="Times New Roman" w:cs="Times New Roman"/>
                <w:sz w:val="24"/>
                <w:lang w:val="en-US" w:eastAsia="zh-CN"/>
              </w:rPr>
              <w:t>《合成树脂工业污染物综合排放标准》(GB31572-2015)表4中相关标准</w:t>
            </w:r>
            <w:r>
              <w:rPr>
                <w:rFonts w:hint="eastAsia" w:ascii="Times New Roman" w:hAnsi="Times New Roman" w:cs="Times New Roman"/>
                <w:sz w:val="24"/>
                <w:lang w:val="en-GB" w:eastAsia="zh-CN"/>
              </w:rPr>
              <w:t>；</w:t>
            </w:r>
            <w:r>
              <w:rPr>
                <w:rFonts w:hint="eastAsia" w:ascii="Times New Roman" w:hAnsi="Times New Roman" w:cs="Times New Roman"/>
                <w:sz w:val="24"/>
                <w:lang w:val="en-US" w:eastAsia="zh-CN"/>
              </w:rPr>
              <w:t>厂界无组织排放执行《合成树脂工业污染物综合排放标准》(GB31572-2015)表9中相关标准，臭气浓度排放执行《恶臭污染物排放标准》（GB14554-93）中表1及表2中的排放限值。</w:t>
            </w:r>
          </w:p>
          <w:p w14:paraId="71FF82DA">
            <w:pPr>
              <w:spacing w:line="240" w:lineRule="auto"/>
              <w:ind w:firstLine="0" w:firstLineChars="0"/>
              <w:contextualSpacing/>
              <w:jc w:val="center"/>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表3-</w:t>
            </w:r>
            <w:r>
              <w:rPr>
                <w:rFonts w:hint="eastAsia" w:cs="Times New Roman"/>
                <w:b/>
                <w:bCs/>
                <w:color w:val="auto"/>
                <w:sz w:val="21"/>
                <w:szCs w:val="21"/>
                <w:lang w:val="en-US" w:eastAsia="zh-CN"/>
              </w:rPr>
              <w:t>8</w:t>
            </w:r>
            <w:r>
              <w:rPr>
                <w:rFonts w:hint="eastAsia" w:ascii="Times New Roman" w:hAnsi="Times New Roman" w:eastAsia="宋体" w:cs="Times New Roman"/>
                <w:b/>
                <w:bCs/>
                <w:color w:val="auto"/>
                <w:sz w:val="21"/>
                <w:szCs w:val="21"/>
                <w:lang w:val="en-US" w:eastAsia="zh-CN"/>
              </w:rPr>
              <w:t xml:space="preserve">  有组织废气污染物排放标准</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336"/>
              <w:gridCol w:w="1295"/>
              <w:gridCol w:w="1022"/>
              <w:gridCol w:w="3293"/>
            </w:tblGrid>
            <w:tr w14:paraId="032B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8" w:type="pct"/>
                  <w:vAlign w:val="center"/>
                </w:tcPr>
                <w:p w14:paraId="4368D2FB">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eastAsia" w:ascii="Times New Roman" w:hAnsi="Times New Roman" w:eastAsia="宋体" w:cs="Times New Roman"/>
                      <w:b/>
                      <w:bCs w:val="0"/>
                      <w:color w:val="auto"/>
                      <w:sz w:val="21"/>
                      <w:szCs w:val="21"/>
                      <w:highlight w:val="none"/>
                    </w:rPr>
                    <w:t>污染源</w:t>
                  </w:r>
                </w:p>
              </w:tc>
              <w:tc>
                <w:tcPr>
                  <w:tcW w:w="854" w:type="pct"/>
                  <w:shd w:val="clear" w:color="auto" w:fill="auto"/>
                  <w:vAlign w:val="center"/>
                </w:tcPr>
                <w:p w14:paraId="5FC2D3E2">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污染物名称</w:t>
                  </w:r>
                </w:p>
              </w:tc>
              <w:tc>
                <w:tcPr>
                  <w:tcW w:w="828" w:type="pct"/>
                  <w:shd w:val="clear" w:color="auto" w:fill="auto"/>
                  <w:vAlign w:val="center"/>
                </w:tcPr>
                <w:p w14:paraId="50475DAB">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排放浓度限值(mg/m</w:t>
                  </w:r>
                  <w:r>
                    <w:rPr>
                      <w:rFonts w:hint="default" w:ascii="Times New Roman" w:hAnsi="Times New Roman" w:eastAsia="宋体" w:cs="Times New Roman"/>
                      <w:b/>
                      <w:bCs w:val="0"/>
                      <w:color w:val="auto"/>
                      <w:sz w:val="21"/>
                      <w:szCs w:val="21"/>
                      <w:highlight w:val="none"/>
                      <w:vertAlign w:val="superscript"/>
                      <w:lang w:val="en-US" w:eastAsia="zh-CN"/>
                    </w:rPr>
                    <w:t>3</w:t>
                  </w:r>
                  <w:r>
                    <w:rPr>
                      <w:rFonts w:hint="default" w:ascii="Times New Roman" w:hAnsi="Times New Roman" w:eastAsia="宋体" w:cs="Times New Roman"/>
                      <w:b/>
                      <w:bCs w:val="0"/>
                      <w:color w:val="auto"/>
                      <w:sz w:val="21"/>
                      <w:szCs w:val="21"/>
                      <w:highlight w:val="none"/>
                      <w:lang w:val="en-US" w:eastAsia="zh-CN"/>
                    </w:rPr>
                    <w:t>)</w:t>
                  </w:r>
                </w:p>
              </w:tc>
              <w:tc>
                <w:tcPr>
                  <w:tcW w:w="653" w:type="pct"/>
                  <w:shd w:val="clear" w:color="auto" w:fill="auto"/>
                  <w:vAlign w:val="center"/>
                </w:tcPr>
                <w:p w14:paraId="7E500ADB">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排放速率(kg/h)</w:t>
                  </w:r>
                </w:p>
              </w:tc>
              <w:tc>
                <w:tcPr>
                  <w:tcW w:w="2105" w:type="pct"/>
                  <w:shd w:val="clear" w:color="auto" w:fill="auto"/>
                  <w:vAlign w:val="center"/>
                </w:tcPr>
                <w:p w14:paraId="5FBD7B2D">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执行标准</w:t>
                  </w:r>
                </w:p>
              </w:tc>
            </w:tr>
            <w:tr w14:paraId="54ED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8" w:type="pct"/>
                  <w:vMerge w:val="restart"/>
                  <w:vAlign w:val="center"/>
                </w:tcPr>
                <w:p w14:paraId="0917EE9B">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eastAsia" w:cs="Times New Roman"/>
                      <w:b w:val="0"/>
                      <w:bCs/>
                      <w:color w:val="auto"/>
                      <w:sz w:val="21"/>
                      <w:szCs w:val="21"/>
                      <w:highlight w:val="none"/>
                      <w:lang w:val="en-US" w:eastAsia="zh-CN"/>
                    </w:rPr>
                    <w:t>注塑</w:t>
                  </w:r>
                </w:p>
              </w:tc>
              <w:tc>
                <w:tcPr>
                  <w:tcW w:w="854" w:type="pct"/>
                  <w:shd w:val="clear" w:color="auto" w:fill="auto"/>
                  <w:vAlign w:val="center"/>
                </w:tcPr>
                <w:p w14:paraId="76296A3A">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非甲烷总烃</w:t>
                  </w:r>
                </w:p>
              </w:tc>
              <w:tc>
                <w:tcPr>
                  <w:tcW w:w="828" w:type="pct"/>
                  <w:shd w:val="clear" w:color="auto" w:fill="auto"/>
                  <w:vAlign w:val="center"/>
                </w:tcPr>
                <w:p w14:paraId="2DDD1C92">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40</w:t>
                  </w:r>
                </w:p>
              </w:tc>
              <w:tc>
                <w:tcPr>
                  <w:tcW w:w="653" w:type="pct"/>
                  <w:shd w:val="clear" w:color="auto" w:fill="auto"/>
                  <w:vAlign w:val="center"/>
                </w:tcPr>
                <w:p w14:paraId="10F3C4F4">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1.6</w:t>
                  </w:r>
                </w:p>
              </w:tc>
              <w:tc>
                <w:tcPr>
                  <w:tcW w:w="2105" w:type="pct"/>
                  <w:shd w:val="clear" w:color="auto" w:fill="auto"/>
                  <w:vAlign w:val="center"/>
                </w:tcPr>
                <w:p w14:paraId="2EECFE88">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GB" w:eastAsia="zh-CN"/>
                    </w:rPr>
                    <w:t>《固定源挥发性有机物综合排放标准 第6部分：其他行业》（DB34/ 4812.6—2024）</w:t>
                  </w:r>
                </w:p>
              </w:tc>
            </w:tr>
            <w:tr w14:paraId="5B37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8" w:type="pct"/>
                  <w:vMerge w:val="continue"/>
                  <w:vAlign w:val="center"/>
                </w:tcPr>
                <w:p w14:paraId="2FD5720A">
                  <w:pPr>
                    <w:spacing w:line="240" w:lineRule="auto"/>
                    <w:ind w:firstLine="0" w:firstLineChars="0"/>
                    <w:jc w:val="center"/>
                    <w:rPr>
                      <w:rFonts w:hint="eastAsia" w:cs="Times New Roman"/>
                      <w:b w:val="0"/>
                      <w:bCs/>
                      <w:color w:val="auto"/>
                      <w:sz w:val="21"/>
                      <w:szCs w:val="21"/>
                      <w:highlight w:val="none"/>
                      <w:lang w:val="en-US" w:eastAsia="zh-CN"/>
                    </w:rPr>
                  </w:pPr>
                </w:p>
              </w:tc>
              <w:tc>
                <w:tcPr>
                  <w:tcW w:w="854" w:type="pct"/>
                  <w:shd w:val="clear" w:color="auto" w:fill="auto"/>
                  <w:vAlign w:val="center"/>
                </w:tcPr>
                <w:p w14:paraId="572A74E8">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臭气浓度</w:t>
                  </w:r>
                </w:p>
              </w:tc>
              <w:tc>
                <w:tcPr>
                  <w:tcW w:w="828" w:type="pct"/>
                  <w:shd w:val="clear" w:color="auto" w:fill="auto"/>
                  <w:vAlign w:val="center"/>
                </w:tcPr>
                <w:p w14:paraId="67FE54D1">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w:t>
                  </w:r>
                </w:p>
              </w:tc>
              <w:tc>
                <w:tcPr>
                  <w:tcW w:w="653" w:type="pct"/>
                  <w:shd w:val="clear" w:color="auto" w:fill="auto"/>
                  <w:vAlign w:val="center"/>
                </w:tcPr>
                <w:p w14:paraId="522D39C2">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2000（无量纲）</w:t>
                  </w:r>
                </w:p>
              </w:tc>
              <w:tc>
                <w:tcPr>
                  <w:tcW w:w="2105" w:type="pct"/>
                  <w:shd w:val="clear" w:color="auto" w:fill="auto"/>
                  <w:vAlign w:val="center"/>
                </w:tcPr>
                <w:p w14:paraId="02BCFA4A">
                  <w:pPr>
                    <w:spacing w:line="240" w:lineRule="auto"/>
                    <w:ind w:firstLine="0" w:firstLineChars="0"/>
                    <w:jc w:val="center"/>
                    <w:rPr>
                      <w:rFonts w:hint="eastAsia" w:ascii="Times New Roman" w:hAnsi="Times New Roman" w:eastAsia="宋体" w:cs="Times New Roman"/>
                      <w:b w:val="0"/>
                      <w:bCs/>
                      <w:color w:val="auto"/>
                      <w:sz w:val="21"/>
                      <w:szCs w:val="21"/>
                      <w:highlight w:val="none"/>
                      <w:lang w:val="en-GB" w:eastAsia="zh-CN"/>
                    </w:rPr>
                  </w:pPr>
                  <w:r>
                    <w:rPr>
                      <w:rFonts w:hint="eastAsia" w:ascii="Times New Roman" w:hAnsi="Times New Roman" w:eastAsia="宋体" w:cs="Times New Roman"/>
                      <w:b w:val="0"/>
                      <w:bCs/>
                      <w:color w:val="auto"/>
                      <w:sz w:val="21"/>
                      <w:szCs w:val="21"/>
                      <w:highlight w:val="none"/>
                      <w:lang w:val="en-US" w:eastAsia="zh-CN"/>
                    </w:rPr>
                    <w:t>《恶臭污染物排放标准》（GB14554-93）</w:t>
                  </w:r>
                </w:p>
              </w:tc>
            </w:tr>
            <w:tr w14:paraId="018A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8" w:type="pct"/>
                  <w:vMerge w:val="restart"/>
                  <w:vAlign w:val="center"/>
                </w:tcPr>
                <w:p w14:paraId="26C0F076">
                  <w:pPr>
                    <w:spacing w:line="240" w:lineRule="auto"/>
                    <w:ind w:firstLine="0" w:firstLineChars="0"/>
                    <w:jc w:val="center"/>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喷漆</w:t>
                  </w:r>
                </w:p>
              </w:tc>
              <w:tc>
                <w:tcPr>
                  <w:tcW w:w="854" w:type="pct"/>
                  <w:shd w:val="clear" w:color="auto" w:fill="auto"/>
                  <w:vAlign w:val="center"/>
                </w:tcPr>
                <w:p w14:paraId="35985EAF">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颗粒物</w:t>
                  </w:r>
                </w:p>
              </w:tc>
              <w:tc>
                <w:tcPr>
                  <w:tcW w:w="828" w:type="pct"/>
                  <w:shd w:val="clear" w:color="auto" w:fill="auto"/>
                  <w:vAlign w:val="center"/>
                </w:tcPr>
                <w:p w14:paraId="0B966092">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30</w:t>
                  </w:r>
                </w:p>
              </w:tc>
              <w:tc>
                <w:tcPr>
                  <w:tcW w:w="653" w:type="pct"/>
                  <w:shd w:val="clear" w:color="auto" w:fill="auto"/>
                  <w:vAlign w:val="center"/>
                </w:tcPr>
                <w:p w14:paraId="483F84B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w:t>
                  </w:r>
                </w:p>
              </w:tc>
              <w:tc>
                <w:tcPr>
                  <w:tcW w:w="2105" w:type="pct"/>
                  <w:shd w:val="clear" w:color="auto" w:fill="auto"/>
                  <w:vAlign w:val="center"/>
                </w:tcPr>
                <w:p w14:paraId="0F7A72BD">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《合成树脂工业污染物综合排放标准》(GB31572-2015)表9中相关标准</w:t>
                  </w:r>
                </w:p>
              </w:tc>
            </w:tr>
            <w:tr w14:paraId="0F9A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8" w:type="pct"/>
                  <w:vMerge w:val="continue"/>
                  <w:vAlign w:val="center"/>
                </w:tcPr>
                <w:p w14:paraId="40EB7622">
                  <w:pPr>
                    <w:spacing w:line="240" w:lineRule="auto"/>
                    <w:ind w:firstLine="0" w:firstLineChars="0"/>
                    <w:jc w:val="center"/>
                    <w:rPr>
                      <w:rFonts w:hint="eastAsia" w:cs="Times New Roman"/>
                      <w:b w:val="0"/>
                      <w:bCs/>
                      <w:color w:val="auto"/>
                      <w:sz w:val="21"/>
                      <w:szCs w:val="21"/>
                      <w:highlight w:val="none"/>
                      <w:lang w:val="en-US" w:eastAsia="zh-CN"/>
                    </w:rPr>
                  </w:pPr>
                </w:p>
              </w:tc>
              <w:tc>
                <w:tcPr>
                  <w:tcW w:w="854" w:type="pct"/>
                  <w:shd w:val="clear" w:color="auto" w:fill="auto"/>
                  <w:vAlign w:val="center"/>
                </w:tcPr>
                <w:p w14:paraId="7809B8AD">
                  <w:pPr>
                    <w:spacing w:line="240" w:lineRule="auto"/>
                    <w:ind w:firstLine="0" w:firstLineChars="0"/>
                    <w:jc w:val="center"/>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非甲烷总烃</w:t>
                  </w:r>
                </w:p>
              </w:tc>
              <w:tc>
                <w:tcPr>
                  <w:tcW w:w="828" w:type="pct"/>
                  <w:shd w:val="clear" w:color="auto" w:fill="auto"/>
                  <w:vAlign w:val="center"/>
                </w:tcPr>
                <w:p w14:paraId="38277FC2">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70</w:t>
                  </w:r>
                </w:p>
              </w:tc>
              <w:tc>
                <w:tcPr>
                  <w:tcW w:w="653" w:type="pct"/>
                  <w:shd w:val="clear" w:color="auto" w:fill="auto"/>
                  <w:vAlign w:val="center"/>
                </w:tcPr>
                <w:p w14:paraId="5E2C9C1E">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3.0</w:t>
                  </w:r>
                </w:p>
              </w:tc>
              <w:tc>
                <w:tcPr>
                  <w:tcW w:w="2105" w:type="pct"/>
                  <w:shd w:val="clear" w:color="auto" w:fill="auto"/>
                  <w:vAlign w:val="center"/>
                </w:tcPr>
                <w:p w14:paraId="301EDC10">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GB" w:eastAsia="zh-CN"/>
                    </w:rPr>
                    <w:t>《固定源挥发性有机物综合排放标准 第6部分：其他行业》（DB34/ 4812.6—2024）</w:t>
                  </w:r>
                </w:p>
              </w:tc>
            </w:tr>
          </w:tbl>
          <w:p w14:paraId="14841441">
            <w:pPr>
              <w:spacing w:line="240" w:lineRule="auto"/>
              <w:ind w:firstLine="0" w:firstLineChars="0"/>
              <w:contextualSpacing/>
              <w:jc w:val="center"/>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表3-</w:t>
            </w:r>
            <w:r>
              <w:rPr>
                <w:rFonts w:hint="eastAsia" w:cs="Times New Roman"/>
                <w:b/>
                <w:bCs/>
                <w:color w:val="auto"/>
                <w:sz w:val="21"/>
                <w:szCs w:val="21"/>
                <w:lang w:val="en-US" w:eastAsia="zh-CN"/>
              </w:rPr>
              <w:t>9</w:t>
            </w:r>
            <w:r>
              <w:rPr>
                <w:rFonts w:hint="eastAsia" w:ascii="Times New Roman" w:hAnsi="Times New Roman" w:eastAsia="宋体" w:cs="Times New Roman"/>
                <w:b/>
                <w:bCs/>
                <w:color w:val="auto"/>
                <w:sz w:val="21"/>
                <w:szCs w:val="21"/>
                <w:lang w:val="en-US" w:eastAsia="zh-CN"/>
              </w:rPr>
              <w:t xml:space="preserve">  无组织废气污染物排放标准</w:t>
            </w:r>
          </w:p>
          <w:tbl>
            <w:tblPr>
              <w:tblStyle w:val="25"/>
              <w:tblW w:w="7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50"/>
              <w:gridCol w:w="1829"/>
              <w:gridCol w:w="2014"/>
              <w:gridCol w:w="2847"/>
            </w:tblGrid>
            <w:tr w14:paraId="13476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73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BA7FC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auto"/>
                      <w:sz w:val="21"/>
                      <w:szCs w:val="21"/>
                      <w:u w:val="none"/>
                      <w:lang w:eastAsia="zh-CN"/>
                    </w:rPr>
                  </w:pPr>
                  <w:r>
                    <w:rPr>
                      <w:rFonts w:hint="eastAsia" w:ascii="宋体" w:hAnsi="宋体" w:cs="宋体"/>
                      <w:b/>
                      <w:bCs/>
                      <w:i w:val="0"/>
                      <w:iCs w:val="0"/>
                      <w:color w:val="auto"/>
                      <w:sz w:val="21"/>
                      <w:szCs w:val="21"/>
                      <w:u w:val="none"/>
                      <w:lang w:eastAsia="zh-CN"/>
                    </w:rPr>
                    <w:t>检测位置</w:t>
                  </w:r>
                </w:p>
              </w:tc>
              <w:tc>
                <w:tcPr>
                  <w:tcW w:w="1166" w:type="pct"/>
                  <w:tcBorders>
                    <w:top w:val="single" w:color="000000" w:sz="4" w:space="0"/>
                    <w:left w:val="single" w:color="000000" w:sz="4" w:space="0"/>
                    <w:bottom w:val="single" w:color="auto" w:sz="4" w:space="0"/>
                    <w:right w:val="single" w:color="auto" w:sz="4" w:space="0"/>
                  </w:tcBorders>
                  <w:shd w:val="clear" w:color="auto" w:fill="auto"/>
                  <w:noWrap/>
                  <w:vAlign w:val="center"/>
                </w:tcPr>
                <w:p w14:paraId="461974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污染物</w:t>
                  </w:r>
                </w:p>
              </w:tc>
              <w:tc>
                <w:tcPr>
                  <w:tcW w:w="1284" w:type="pct"/>
                  <w:tcBorders>
                    <w:top w:val="single" w:color="000000" w:sz="4" w:space="0"/>
                    <w:left w:val="single" w:color="auto" w:sz="4" w:space="0"/>
                    <w:bottom w:val="single" w:color="auto" w:sz="4" w:space="0"/>
                    <w:right w:val="single" w:color="auto" w:sz="4" w:space="0"/>
                  </w:tcBorders>
                  <w:shd w:val="clear" w:color="auto" w:fill="auto"/>
                  <w:noWrap/>
                  <w:vAlign w:val="center"/>
                </w:tcPr>
                <w:p w14:paraId="2F8542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浓度限值(mg/m</w:t>
                  </w:r>
                  <w:r>
                    <w:rPr>
                      <w:rFonts w:hint="eastAsia" w:ascii="Times New Roman" w:hAnsi="Times New Roman" w:eastAsia="宋体" w:cs="Times New Roman"/>
                      <w:b/>
                      <w:bCs/>
                      <w:color w:val="auto"/>
                      <w:sz w:val="21"/>
                      <w:szCs w:val="21"/>
                      <w:highlight w:val="none"/>
                      <w:vertAlign w:val="superscript"/>
                    </w:rPr>
                    <w:t>3</w:t>
                  </w:r>
                  <w:r>
                    <w:rPr>
                      <w:rFonts w:hint="eastAsia" w:ascii="Times New Roman" w:hAnsi="Times New Roman" w:eastAsia="宋体" w:cs="Times New Roman"/>
                      <w:b/>
                      <w:bCs/>
                      <w:color w:val="auto"/>
                      <w:sz w:val="21"/>
                      <w:szCs w:val="21"/>
                      <w:highlight w:val="none"/>
                    </w:rPr>
                    <w:t>)</w:t>
                  </w:r>
                </w:p>
              </w:tc>
              <w:tc>
                <w:tcPr>
                  <w:tcW w:w="1815"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111AD0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执行标准</w:t>
                  </w:r>
                </w:p>
              </w:tc>
            </w:tr>
            <w:tr w14:paraId="4A09D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733" w:type="pct"/>
                  <w:vMerge w:val="restart"/>
                  <w:tcBorders>
                    <w:top w:val="single" w:color="auto" w:sz="4" w:space="0"/>
                    <w:left w:val="single" w:color="auto" w:sz="4" w:space="0"/>
                    <w:right w:val="single" w:color="auto" w:sz="4" w:space="0"/>
                  </w:tcBorders>
                  <w:shd w:val="clear" w:color="auto" w:fill="auto"/>
                  <w:vAlign w:val="center"/>
                </w:tcPr>
                <w:p w14:paraId="568DFCE8">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厂界</w:t>
                  </w:r>
                </w:p>
              </w:tc>
              <w:tc>
                <w:tcPr>
                  <w:tcW w:w="1166" w:type="pct"/>
                  <w:tcBorders>
                    <w:top w:val="single" w:color="auto" w:sz="4" w:space="0"/>
                    <w:left w:val="single" w:color="auto" w:sz="4" w:space="0"/>
                    <w:bottom w:val="single" w:color="auto" w:sz="4" w:space="0"/>
                    <w:right w:val="single" w:color="auto" w:sz="4" w:space="0"/>
                  </w:tcBorders>
                  <w:shd w:val="clear" w:color="auto" w:fill="auto"/>
                  <w:vAlign w:val="center"/>
                </w:tcPr>
                <w:p w14:paraId="5EE58F4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颗粒物</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214615FE">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1.0</w:t>
                  </w:r>
                </w:p>
              </w:tc>
              <w:tc>
                <w:tcPr>
                  <w:tcW w:w="1815" w:type="pct"/>
                  <w:vMerge w:val="restart"/>
                  <w:tcBorders>
                    <w:top w:val="single" w:color="000000" w:sz="4" w:space="0"/>
                    <w:left w:val="single" w:color="auto" w:sz="4" w:space="0"/>
                    <w:right w:val="single" w:color="000000" w:sz="4" w:space="0"/>
                  </w:tcBorders>
                  <w:shd w:val="clear" w:color="auto" w:fill="auto"/>
                  <w:vAlign w:val="center"/>
                </w:tcPr>
                <w:p w14:paraId="5A116582">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《合成树脂工业污染物综合排放标准》(GB31572-2015)表9中相关标准</w:t>
                  </w:r>
                </w:p>
              </w:tc>
            </w:tr>
            <w:tr w14:paraId="4CFD3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3" w:type="pct"/>
                  <w:vMerge w:val="continue"/>
                  <w:tcBorders>
                    <w:left w:val="single" w:color="auto" w:sz="4" w:space="0"/>
                    <w:right w:val="single" w:color="auto" w:sz="4" w:space="0"/>
                  </w:tcBorders>
                  <w:shd w:val="clear" w:color="auto" w:fill="auto"/>
                  <w:vAlign w:val="center"/>
                </w:tcPr>
                <w:p w14:paraId="723A7858">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p>
              </w:tc>
              <w:tc>
                <w:tcPr>
                  <w:tcW w:w="1166" w:type="pct"/>
                  <w:tcBorders>
                    <w:top w:val="single" w:color="auto" w:sz="4" w:space="0"/>
                    <w:left w:val="single" w:color="auto" w:sz="4" w:space="0"/>
                    <w:bottom w:val="single" w:color="auto" w:sz="4" w:space="0"/>
                    <w:right w:val="single" w:color="auto" w:sz="4" w:space="0"/>
                  </w:tcBorders>
                  <w:shd w:val="clear" w:color="auto" w:fill="auto"/>
                  <w:vAlign w:val="center"/>
                </w:tcPr>
                <w:p w14:paraId="630A2DA9">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非甲烷总烃</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12719434">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4.0</w:t>
                  </w:r>
                </w:p>
              </w:tc>
              <w:tc>
                <w:tcPr>
                  <w:tcW w:w="1815" w:type="pct"/>
                  <w:vMerge w:val="continue"/>
                  <w:tcBorders>
                    <w:left w:val="single" w:color="auto" w:sz="4" w:space="0"/>
                    <w:right w:val="single" w:color="000000" w:sz="4" w:space="0"/>
                  </w:tcBorders>
                  <w:shd w:val="clear" w:color="auto" w:fill="auto"/>
                  <w:vAlign w:val="center"/>
                </w:tcPr>
                <w:p w14:paraId="7E2B5008">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p>
              </w:tc>
            </w:tr>
            <w:tr w14:paraId="5797A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733" w:type="pct"/>
                  <w:vMerge w:val="continue"/>
                  <w:tcBorders>
                    <w:left w:val="single" w:color="auto" w:sz="4" w:space="0"/>
                    <w:bottom w:val="single" w:color="auto" w:sz="4" w:space="0"/>
                    <w:right w:val="single" w:color="auto" w:sz="4" w:space="0"/>
                  </w:tcBorders>
                  <w:shd w:val="clear" w:color="auto" w:fill="auto"/>
                  <w:vAlign w:val="center"/>
                </w:tcPr>
                <w:p w14:paraId="4BE65897">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p>
              </w:tc>
              <w:tc>
                <w:tcPr>
                  <w:tcW w:w="1166" w:type="pct"/>
                  <w:tcBorders>
                    <w:top w:val="single" w:color="auto" w:sz="4" w:space="0"/>
                    <w:left w:val="single" w:color="auto" w:sz="4" w:space="0"/>
                    <w:bottom w:val="single" w:color="auto" w:sz="4" w:space="0"/>
                    <w:right w:val="single" w:color="auto" w:sz="4" w:space="0"/>
                  </w:tcBorders>
                  <w:shd w:val="clear" w:color="auto" w:fill="auto"/>
                  <w:vAlign w:val="center"/>
                </w:tcPr>
                <w:p w14:paraId="27EB5774">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臭气浓度</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41C66336">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20（无量纲）</w:t>
                  </w:r>
                </w:p>
              </w:tc>
              <w:tc>
                <w:tcPr>
                  <w:tcW w:w="1815" w:type="pct"/>
                  <w:tcBorders>
                    <w:top w:val="single" w:color="000000" w:sz="4" w:space="0"/>
                    <w:left w:val="single" w:color="auto" w:sz="4" w:space="0"/>
                    <w:right w:val="single" w:color="000000" w:sz="4" w:space="0"/>
                  </w:tcBorders>
                  <w:shd w:val="clear" w:color="auto" w:fill="auto"/>
                  <w:vAlign w:val="center"/>
                </w:tcPr>
                <w:p w14:paraId="2EAD92EC">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《恶臭污染物排放标准》（GB14554-93）</w:t>
                  </w:r>
                </w:p>
              </w:tc>
            </w:tr>
            <w:tr w14:paraId="029D7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733" w:type="pct"/>
                  <w:vMerge w:val="restart"/>
                  <w:tcBorders>
                    <w:top w:val="single" w:color="auto" w:sz="4" w:space="0"/>
                    <w:left w:val="single" w:color="auto" w:sz="4" w:space="0"/>
                    <w:right w:val="single" w:color="auto" w:sz="4" w:space="0"/>
                  </w:tcBorders>
                  <w:shd w:val="clear" w:color="auto" w:fill="auto"/>
                  <w:vAlign w:val="center"/>
                </w:tcPr>
                <w:p w14:paraId="75BE439A">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厂区内监控点</w:t>
                  </w:r>
                </w:p>
              </w:tc>
              <w:tc>
                <w:tcPr>
                  <w:tcW w:w="1166" w:type="pct"/>
                  <w:tcBorders>
                    <w:top w:val="single" w:color="auto" w:sz="4" w:space="0"/>
                    <w:left w:val="single" w:color="auto" w:sz="4" w:space="0"/>
                    <w:bottom w:val="single" w:color="auto" w:sz="4" w:space="0"/>
                    <w:right w:val="single" w:color="auto" w:sz="4" w:space="0"/>
                  </w:tcBorders>
                  <w:shd w:val="clear" w:color="auto" w:fill="auto"/>
                  <w:vAlign w:val="center"/>
                </w:tcPr>
                <w:p w14:paraId="187C3EE9">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监控点处1小时平均浓度值</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5A2D095B">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6</w:t>
                  </w:r>
                </w:p>
              </w:tc>
              <w:tc>
                <w:tcPr>
                  <w:tcW w:w="1815" w:type="pct"/>
                  <w:vMerge w:val="restart"/>
                  <w:tcBorders>
                    <w:top w:val="single" w:color="000000" w:sz="4" w:space="0"/>
                    <w:left w:val="single" w:color="auto" w:sz="4" w:space="0"/>
                    <w:right w:val="single" w:color="000000" w:sz="4" w:space="0"/>
                  </w:tcBorders>
                  <w:shd w:val="clear" w:color="auto" w:fill="auto"/>
                  <w:vAlign w:val="center"/>
                </w:tcPr>
                <w:p w14:paraId="76B4F2FB">
                  <w:pPr>
                    <w:spacing w:line="240" w:lineRule="auto"/>
                    <w:ind w:firstLine="0" w:firstLineChars="0"/>
                    <w:jc w:val="center"/>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《固定源挥发性有机物综合排放标准 第6部分：其他行业》（DB34/ 4812.6-2024）</w:t>
                  </w:r>
                </w:p>
              </w:tc>
            </w:tr>
            <w:tr w14:paraId="67C7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733" w:type="pct"/>
                  <w:vMerge w:val="continue"/>
                  <w:tcBorders>
                    <w:left w:val="single" w:color="auto" w:sz="4" w:space="0"/>
                    <w:bottom w:val="single" w:color="auto" w:sz="4" w:space="0"/>
                    <w:right w:val="single" w:color="auto" w:sz="4" w:space="0"/>
                  </w:tcBorders>
                  <w:shd w:val="clear" w:color="auto" w:fill="auto"/>
                  <w:vAlign w:val="center"/>
                </w:tcPr>
                <w:p w14:paraId="6BACE4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i w:val="0"/>
                      <w:iCs w:val="0"/>
                      <w:color w:val="auto"/>
                      <w:kern w:val="0"/>
                      <w:sz w:val="21"/>
                      <w:szCs w:val="21"/>
                      <w:u w:val="none"/>
                      <w:lang w:val="en-US" w:eastAsia="zh-CN" w:bidi="ar"/>
                    </w:rPr>
                  </w:pPr>
                </w:p>
              </w:tc>
              <w:tc>
                <w:tcPr>
                  <w:tcW w:w="1166" w:type="pct"/>
                  <w:tcBorders>
                    <w:top w:val="single" w:color="auto" w:sz="4" w:space="0"/>
                    <w:left w:val="single" w:color="auto" w:sz="4" w:space="0"/>
                    <w:bottom w:val="single" w:color="auto" w:sz="4" w:space="0"/>
                    <w:right w:val="single" w:color="auto" w:sz="4" w:space="0"/>
                  </w:tcBorders>
                  <w:shd w:val="clear" w:color="auto" w:fill="auto"/>
                  <w:vAlign w:val="center"/>
                </w:tcPr>
                <w:p w14:paraId="1CB905BB">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监控点处任意一次浓度值</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6515D740">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w:t>
                  </w:r>
                </w:p>
              </w:tc>
              <w:tc>
                <w:tcPr>
                  <w:tcW w:w="1815" w:type="pct"/>
                  <w:vMerge w:val="continue"/>
                  <w:tcBorders>
                    <w:left w:val="single" w:color="auto" w:sz="4" w:space="0"/>
                    <w:bottom w:val="single" w:color="000000" w:sz="4" w:space="0"/>
                    <w:right w:val="single" w:color="000000" w:sz="4" w:space="0"/>
                  </w:tcBorders>
                  <w:shd w:val="clear" w:color="auto" w:fill="auto"/>
                  <w:vAlign w:val="center"/>
                </w:tcPr>
                <w:p w14:paraId="2AC4CF0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r>
          </w:tbl>
          <w:p w14:paraId="47C3C09D">
            <w:pPr>
              <w:pStyle w:val="6"/>
              <w:rPr>
                <w:rFonts w:hint="default" w:ascii="Times New Roman" w:hAnsi="Times New Roman" w:eastAsia="宋体" w:cs="Times New Roman"/>
                <w:color w:val="auto"/>
              </w:rPr>
            </w:pPr>
            <w:r>
              <w:rPr>
                <w:rFonts w:hint="eastAsia" w:ascii="Times New Roman" w:hAnsi="Times New Roman" w:eastAsia="宋体" w:cs="Times New Roman"/>
                <w:color w:val="auto"/>
                <w:lang w:eastAsia="zh-CN"/>
              </w:rPr>
              <w:t>二、</w:t>
            </w:r>
            <w:r>
              <w:rPr>
                <w:rFonts w:hint="default" w:ascii="Times New Roman" w:hAnsi="Times New Roman" w:eastAsia="宋体" w:cs="Times New Roman"/>
                <w:color w:val="auto"/>
              </w:rPr>
              <w:t>废水排放标准</w:t>
            </w:r>
          </w:p>
          <w:p w14:paraId="74D57A34">
            <w:pPr>
              <w:adjustRightInd w:val="0"/>
              <w:snapToGrid w:val="0"/>
              <w:spacing w:line="360" w:lineRule="auto"/>
              <w:ind w:firstLine="480" w:firstLineChars="200"/>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本项目建成后排水实行雨污分流制；雨水经厂区内雨水管直接外排，生活污水经化粪池预处理后与循环冷却水一同接管至市政污水管网，纳入蚌埠市第二污水处理厂处理后排放。蚌埠市第二污水处理厂尾水排放执行《城镇污水处理厂污染物排放标准》（GB18918-2002）中的一级A标准，排入淮河干流蚌埠段。具体标准见下表。</w:t>
            </w:r>
          </w:p>
          <w:p w14:paraId="74F7240C">
            <w:pPr>
              <w:spacing w:line="240" w:lineRule="auto"/>
              <w:ind w:firstLine="0" w:firstLineChars="0"/>
              <w:contextualSpacing/>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表3-</w:t>
            </w:r>
            <w:r>
              <w:rPr>
                <w:rFonts w:hint="eastAsia" w:cs="Times New Roman"/>
                <w:b/>
                <w:bCs/>
                <w:color w:val="auto"/>
                <w:sz w:val="21"/>
                <w:szCs w:val="21"/>
                <w:lang w:val="en-US" w:eastAsia="zh-CN"/>
              </w:rPr>
              <w:t>10</w:t>
            </w:r>
            <w:r>
              <w:rPr>
                <w:rFonts w:hint="default" w:ascii="Times New Roman" w:hAnsi="Times New Roman" w:eastAsia="宋体" w:cs="Times New Roman"/>
                <w:b/>
                <w:bCs/>
                <w:color w:val="auto"/>
                <w:sz w:val="21"/>
                <w:szCs w:val="21"/>
                <w:lang w:val="en-US" w:eastAsia="zh-CN"/>
              </w:rPr>
              <w:t xml:space="preserve">  厂区出水排放指标  单位：mg/L（pH无量纲）</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
              <w:gridCol w:w="1498"/>
              <w:gridCol w:w="1754"/>
              <w:gridCol w:w="1361"/>
              <w:gridCol w:w="1145"/>
              <w:gridCol w:w="1541"/>
            </w:tblGrid>
            <w:tr w14:paraId="209E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2" w:type="pct"/>
                  <w:textDirection w:val="tbRlV"/>
                  <w:vAlign w:val="center"/>
                </w:tcPr>
                <w:p w14:paraId="41AF3C27">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序号</w:t>
                  </w:r>
                </w:p>
              </w:tc>
              <w:tc>
                <w:tcPr>
                  <w:tcW w:w="957" w:type="pct"/>
                  <w:vAlign w:val="center"/>
                </w:tcPr>
                <w:p w14:paraId="2E716D5B">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污染物</w:t>
                  </w:r>
                </w:p>
              </w:tc>
              <w:tc>
                <w:tcPr>
                  <w:tcW w:w="1121" w:type="pct"/>
                  <w:vAlign w:val="center"/>
                </w:tcPr>
                <w:p w14:paraId="29B81ACD">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蚌埠市第二污水处理厂接管标准</w:t>
                  </w:r>
                </w:p>
              </w:tc>
              <w:tc>
                <w:tcPr>
                  <w:tcW w:w="870" w:type="pct"/>
                  <w:vAlign w:val="center"/>
                </w:tcPr>
                <w:p w14:paraId="2F251F1F">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GB8978-1996三级标准</w:t>
                  </w:r>
                </w:p>
              </w:tc>
              <w:tc>
                <w:tcPr>
                  <w:tcW w:w="732" w:type="pct"/>
                  <w:vAlign w:val="center"/>
                </w:tcPr>
                <w:p w14:paraId="1E077E5A">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本项目执行标准</w:t>
                  </w:r>
                </w:p>
              </w:tc>
              <w:tc>
                <w:tcPr>
                  <w:tcW w:w="985" w:type="pct"/>
                  <w:vAlign w:val="center"/>
                </w:tcPr>
                <w:p w14:paraId="7A77E575">
                  <w:pPr>
                    <w:pStyle w:val="52"/>
                    <w:widowControl/>
                    <w:adjustRightInd/>
                    <w:snapToGrid/>
                    <w:jc w:val="center"/>
                    <w:rPr>
                      <w:rFonts w:hint="default" w:ascii="Times New Roman" w:hAnsi="Times New Roman" w:eastAsia="宋体" w:cs="Times New Roman"/>
                      <w:b/>
                      <w:bCs/>
                      <w:color w:val="auto"/>
                      <w:kern w:val="0"/>
                      <w:sz w:val="21"/>
                      <w:szCs w:val="20"/>
                      <w:highlight w:val="none"/>
                      <w:lang w:val="en-US" w:eastAsia="zh-CN"/>
                    </w:rPr>
                  </w:pPr>
                  <w:r>
                    <w:rPr>
                      <w:rFonts w:hint="eastAsia" w:ascii="Times New Roman" w:hAnsi="Times New Roman" w:eastAsia="宋体" w:cs="Times New Roman"/>
                      <w:b/>
                      <w:bCs/>
                      <w:color w:val="auto"/>
                      <w:kern w:val="0"/>
                      <w:sz w:val="21"/>
                      <w:szCs w:val="20"/>
                      <w:highlight w:val="none"/>
                      <w:lang w:val="en-US" w:eastAsia="zh-CN"/>
                    </w:rPr>
                    <w:t>GB18918-2002一级A标准</w:t>
                  </w:r>
                </w:p>
              </w:tc>
            </w:tr>
            <w:tr w14:paraId="40C3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 w:type="pct"/>
                  <w:vAlign w:val="center"/>
                </w:tcPr>
                <w:p w14:paraId="47A66889">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w:t>
                  </w:r>
                </w:p>
              </w:tc>
              <w:tc>
                <w:tcPr>
                  <w:tcW w:w="957" w:type="pct"/>
                  <w:vAlign w:val="center"/>
                </w:tcPr>
                <w:p w14:paraId="1E89AFD2">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pH</w:t>
                  </w:r>
                </w:p>
              </w:tc>
              <w:tc>
                <w:tcPr>
                  <w:tcW w:w="1121" w:type="pct"/>
                  <w:vAlign w:val="center"/>
                </w:tcPr>
                <w:p w14:paraId="61365081">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6~9</w:t>
                  </w:r>
                </w:p>
              </w:tc>
              <w:tc>
                <w:tcPr>
                  <w:tcW w:w="870" w:type="pct"/>
                  <w:vAlign w:val="center"/>
                </w:tcPr>
                <w:p w14:paraId="1EC6F505">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6~9</w:t>
                  </w:r>
                </w:p>
              </w:tc>
              <w:tc>
                <w:tcPr>
                  <w:tcW w:w="732" w:type="pct"/>
                  <w:vAlign w:val="center"/>
                </w:tcPr>
                <w:p w14:paraId="2C47AF34">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6~9</w:t>
                  </w:r>
                </w:p>
              </w:tc>
              <w:tc>
                <w:tcPr>
                  <w:tcW w:w="985" w:type="pct"/>
                  <w:vAlign w:val="center"/>
                </w:tcPr>
                <w:p w14:paraId="0196C0AF">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6~9</w:t>
                  </w:r>
                </w:p>
              </w:tc>
            </w:tr>
            <w:tr w14:paraId="12D96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2" w:type="pct"/>
                  <w:vAlign w:val="center"/>
                </w:tcPr>
                <w:p w14:paraId="580A8709">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2</w:t>
                  </w:r>
                </w:p>
              </w:tc>
              <w:tc>
                <w:tcPr>
                  <w:tcW w:w="957" w:type="pct"/>
                  <w:vAlign w:val="center"/>
                </w:tcPr>
                <w:p w14:paraId="094CB2AB">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COD</w:t>
                  </w:r>
                </w:p>
              </w:tc>
              <w:tc>
                <w:tcPr>
                  <w:tcW w:w="1121" w:type="pct"/>
                  <w:vAlign w:val="center"/>
                </w:tcPr>
                <w:p w14:paraId="575B4B07">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300</w:t>
                  </w:r>
                </w:p>
              </w:tc>
              <w:tc>
                <w:tcPr>
                  <w:tcW w:w="870" w:type="pct"/>
                  <w:vAlign w:val="center"/>
                </w:tcPr>
                <w:p w14:paraId="006ABEE9">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500</w:t>
                  </w:r>
                </w:p>
              </w:tc>
              <w:tc>
                <w:tcPr>
                  <w:tcW w:w="732" w:type="pct"/>
                  <w:vAlign w:val="center"/>
                </w:tcPr>
                <w:p w14:paraId="27E5CC43">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300</w:t>
                  </w:r>
                </w:p>
              </w:tc>
              <w:tc>
                <w:tcPr>
                  <w:tcW w:w="985" w:type="pct"/>
                  <w:vAlign w:val="center"/>
                </w:tcPr>
                <w:p w14:paraId="514822FD">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50</w:t>
                  </w:r>
                </w:p>
              </w:tc>
            </w:tr>
            <w:tr w14:paraId="05A9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 w:type="pct"/>
                  <w:vAlign w:val="center"/>
                </w:tcPr>
                <w:p w14:paraId="108D0D83">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w:t>
                  </w:r>
                </w:p>
              </w:tc>
              <w:tc>
                <w:tcPr>
                  <w:tcW w:w="957" w:type="pct"/>
                  <w:vAlign w:val="center"/>
                </w:tcPr>
                <w:p w14:paraId="59FBF54C">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BOD</w:t>
                  </w:r>
                  <w:r>
                    <w:rPr>
                      <w:rFonts w:hint="eastAsia" w:ascii="Times New Roman" w:hAnsi="Times New Roman" w:eastAsia="宋体" w:cs="Times New Roman"/>
                      <w:color w:val="auto"/>
                      <w:kern w:val="0"/>
                      <w:sz w:val="21"/>
                      <w:szCs w:val="20"/>
                      <w:highlight w:val="none"/>
                      <w:vertAlign w:val="subscript"/>
                      <w:lang w:val="en-US" w:eastAsia="zh-CN"/>
                    </w:rPr>
                    <w:t>5</w:t>
                  </w:r>
                </w:p>
              </w:tc>
              <w:tc>
                <w:tcPr>
                  <w:tcW w:w="1121" w:type="pct"/>
                  <w:vAlign w:val="center"/>
                </w:tcPr>
                <w:p w14:paraId="0F2E769F">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150</w:t>
                  </w:r>
                </w:p>
              </w:tc>
              <w:tc>
                <w:tcPr>
                  <w:tcW w:w="870" w:type="pct"/>
                  <w:vAlign w:val="center"/>
                </w:tcPr>
                <w:p w14:paraId="621FC344">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300</w:t>
                  </w:r>
                </w:p>
              </w:tc>
              <w:tc>
                <w:tcPr>
                  <w:tcW w:w="732" w:type="pct"/>
                  <w:vAlign w:val="center"/>
                </w:tcPr>
                <w:p w14:paraId="32380C62">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150</w:t>
                  </w:r>
                </w:p>
              </w:tc>
              <w:tc>
                <w:tcPr>
                  <w:tcW w:w="985" w:type="pct"/>
                  <w:vAlign w:val="center"/>
                </w:tcPr>
                <w:p w14:paraId="36BB5A6B">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10</w:t>
                  </w:r>
                </w:p>
              </w:tc>
            </w:tr>
            <w:tr w14:paraId="6E1C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 w:type="pct"/>
                  <w:vAlign w:val="center"/>
                </w:tcPr>
                <w:p w14:paraId="52561C4B">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4</w:t>
                  </w:r>
                </w:p>
              </w:tc>
              <w:tc>
                <w:tcPr>
                  <w:tcW w:w="957" w:type="pct"/>
                  <w:vAlign w:val="center"/>
                </w:tcPr>
                <w:p w14:paraId="2D7EC61E">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SS</w:t>
                  </w:r>
                </w:p>
              </w:tc>
              <w:tc>
                <w:tcPr>
                  <w:tcW w:w="1121" w:type="pct"/>
                  <w:vAlign w:val="center"/>
                </w:tcPr>
                <w:p w14:paraId="16A4FA37">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180</w:t>
                  </w:r>
                </w:p>
              </w:tc>
              <w:tc>
                <w:tcPr>
                  <w:tcW w:w="870" w:type="pct"/>
                  <w:vAlign w:val="center"/>
                </w:tcPr>
                <w:p w14:paraId="1F0A7F89">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400</w:t>
                  </w:r>
                </w:p>
              </w:tc>
              <w:tc>
                <w:tcPr>
                  <w:tcW w:w="732" w:type="pct"/>
                  <w:vAlign w:val="center"/>
                </w:tcPr>
                <w:p w14:paraId="408A8C80">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180</w:t>
                  </w:r>
                </w:p>
              </w:tc>
              <w:tc>
                <w:tcPr>
                  <w:tcW w:w="985" w:type="pct"/>
                  <w:vAlign w:val="center"/>
                </w:tcPr>
                <w:p w14:paraId="2A96A29E">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10</w:t>
                  </w:r>
                </w:p>
              </w:tc>
            </w:tr>
            <w:tr w14:paraId="5759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 w:type="pct"/>
                  <w:vAlign w:val="center"/>
                </w:tcPr>
                <w:p w14:paraId="48959925">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5</w:t>
                  </w:r>
                </w:p>
              </w:tc>
              <w:tc>
                <w:tcPr>
                  <w:tcW w:w="957" w:type="pct"/>
                  <w:vAlign w:val="center"/>
                </w:tcPr>
                <w:p w14:paraId="7AA791D5">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氨氮</w:t>
                  </w:r>
                </w:p>
              </w:tc>
              <w:tc>
                <w:tcPr>
                  <w:tcW w:w="1121" w:type="pct"/>
                  <w:vAlign w:val="center"/>
                </w:tcPr>
                <w:p w14:paraId="70E6CDFF">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30</w:t>
                  </w:r>
                </w:p>
              </w:tc>
              <w:tc>
                <w:tcPr>
                  <w:tcW w:w="870" w:type="pct"/>
                  <w:vAlign w:val="center"/>
                </w:tcPr>
                <w:p w14:paraId="32FCAA9D">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w:t>
                  </w:r>
                </w:p>
              </w:tc>
              <w:tc>
                <w:tcPr>
                  <w:tcW w:w="732" w:type="pct"/>
                  <w:vAlign w:val="center"/>
                </w:tcPr>
                <w:p w14:paraId="43F01CF4">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30</w:t>
                  </w:r>
                </w:p>
              </w:tc>
              <w:tc>
                <w:tcPr>
                  <w:tcW w:w="985" w:type="pct"/>
                  <w:vAlign w:val="center"/>
                </w:tcPr>
                <w:p w14:paraId="71F21D46">
                  <w:pPr>
                    <w:pStyle w:val="52"/>
                    <w:widowControl/>
                    <w:adjustRightInd/>
                    <w:snapToGrid/>
                    <w:jc w:val="center"/>
                    <w:rPr>
                      <w:rFonts w:hint="default" w:ascii="Times New Roman" w:hAnsi="Times New Roman" w:eastAsia="宋体" w:cs="Times New Roman"/>
                      <w:color w:val="auto"/>
                      <w:kern w:val="0"/>
                      <w:sz w:val="21"/>
                      <w:szCs w:val="20"/>
                      <w:highlight w:val="none"/>
                      <w:lang w:val="en-US" w:eastAsia="zh-CN"/>
                    </w:rPr>
                  </w:pPr>
                  <w:r>
                    <w:rPr>
                      <w:rFonts w:hint="eastAsia" w:ascii="Times New Roman" w:hAnsi="Times New Roman" w:eastAsia="宋体" w:cs="Times New Roman"/>
                      <w:color w:val="auto"/>
                      <w:kern w:val="0"/>
                      <w:sz w:val="21"/>
                      <w:szCs w:val="20"/>
                      <w:highlight w:val="none"/>
                      <w:lang w:val="en-US" w:eastAsia="zh-CN"/>
                    </w:rPr>
                    <w:t>5（8）</w:t>
                  </w:r>
                </w:p>
              </w:tc>
            </w:tr>
          </w:tbl>
          <w:p w14:paraId="630E04FB">
            <w:pPr>
              <w:pStyle w:val="54"/>
              <w:ind w:firstLine="0" w:firstLineChars="0"/>
              <w:rPr>
                <w:rFonts w:hint="default" w:ascii="Times New Roman" w:hAnsi="Times New Roman" w:eastAsia="宋体" w:cs="Times New Roman"/>
                <w:b/>
                <w:bCs/>
                <w:color w:val="auto"/>
                <w:kern w:val="2"/>
                <w:sz w:val="24"/>
                <w:szCs w:val="30"/>
                <w:lang w:val="en-US" w:eastAsia="zh-CN" w:bidi="ar-SA"/>
              </w:rPr>
            </w:pPr>
            <w:r>
              <w:rPr>
                <w:rFonts w:hint="eastAsia" w:ascii="Times New Roman" w:hAnsi="Times New Roman" w:cs="Times New Roman"/>
                <w:b/>
                <w:bCs/>
                <w:color w:val="auto"/>
                <w:kern w:val="2"/>
                <w:sz w:val="24"/>
                <w:szCs w:val="30"/>
                <w:lang w:val="en-US" w:eastAsia="zh-CN" w:bidi="ar-SA"/>
              </w:rPr>
              <w:t>三、</w:t>
            </w:r>
            <w:r>
              <w:rPr>
                <w:rFonts w:hint="default" w:ascii="Times New Roman" w:hAnsi="Times New Roman" w:eastAsia="宋体" w:cs="Times New Roman"/>
                <w:b/>
                <w:bCs/>
                <w:color w:val="auto"/>
                <w:kern w:val="2"/>
                <w:sz w:val="24"/>
                <w:szCs w:val="30"/>
                <w:lang w:val="en-US" w:eastAsia="zh-CN" w:bidi="ar-SA"/>
              </w:rPr>
              <w:t>噪声排放标准</w:t>
            </w:r>
          </w:p>
          <w:p w14:paraId="789EF9A1">
            <w:pPr>
              <w:adjustRightInd w:val="0"/>
              <w:snapToGrid w:val="0"/>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项目营运期厂界噪声排放执行《工业企业厂界环境噪声排放标准》（GB12348-2008）中3类标准限值要求，</w:t>
            </w:r>
            <w:r>
              <w:rPr>
                <w:rFonts w:hint="eastAsia" w:ascii="Times New Roman" w:hAnsi="Times New Roman" w:cs="Times New Roman"/>
                <w:sz w:val="24"/>
                <w:lang w:val="en-US" w:eastAsia="zh-CN"/>
              </w:rPr>
              <w:t>敏感点龙湖雅苑执行《声环境质量标准》（GB3096-2008）中的2类标准，</w:t>
            </w:r>
            <w:r>
              <w:rPr>
                <w:rFonts w:hint="default" w:ascii="Times New Roman" w:hAnsi="Times New Roman" w:cs="Times New Roman"/>
                <w:sz w:val="24"/>
                <w:lang w:val="en-US" w:eastAsia="zh-CN"/>
              </w:rPr>
              <w:t>具体限值见下表：</w:t>
            </w:r>
          </w:p>
          <w:p w14:paraId="326A7E09">
            <w:pPr>
              <w:spacing w:line="240" w:lineRule="auto"/>
              <w:ind w:firstLine="0" w:firstLineChars="0"/>
              <w:contextualSpacing/>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表3</w:t>
            </w:r>
            <w:r>
              <w:rPr>
                <w:rFonts w:hint="default" w:ascii="Times New Roman" w:hAnsi="Times New Roman" w:eastAsia="宋体" w:cs="Times New Roman"/>
                <w:b/>
                <w:bCs/>
                <w:color w:val="auto"/>
                <w:sz w:val="21"/>
                <w:szCs w:val="21"/>
                <w:lang w:val="en-US" w:eastAsia="zh-CN"/>
              </w:rPr>
              <w:t>-</w:t>
            </w:r>
            <w:r>
              <w:rPr>
                <w:rFonts w:hint="eastAsia" w:cs="Times New Roman"/>
                <w:b/>
                <w:bCs/>
                <w:color w:val="auto"/>
                <w:sz w:val="21"/>
                <w:szCs w:val="21"/>
                <w:lang w:val="en-US" w:eastAsia="zh-CN"/>
              </w:rPr>
              <w:t>11</w:t>
            </w:r>
            <w:r>
              <w:rPr>
                <w:rFonts w:hint="eastAsia"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rPr>
              <w:t>环境噪声排放标准限值单位：dB(A)</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1"/>
              <w:gridCol w:w="1113"/>
              <w:gridCol w:w="1113"/>
              <w:gridCol w:w="4185"/>
            </w:tblGrid>
            <w:tr w14:paraId="1257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2" w:type="pct"/>
                  <w:vAlign w:val="center"/>
                </w:tcPr>
                <w:p w14:paraId="51C4857C">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时期</w:t>
                  </w:r>
                </w:p>
              </w:tc>
              <w:tc>
                <w:tcPr>
                  <w:tcW w:w="711" w:type="pct"/>
                  <w:vAlign w:val="center"/>
                </w:tcPr>
                <w:p w14:paraId="6C8A9534">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昼间</w:t>
                  </w:r>
                </w:p>
              </w:tc>
              <w:tc>
                <w:tcPr>
                  <w:tcW w:w="711" w:type="pct"/>
                  <w:vAlign w:val="center"/>
                </w:tcPr>
                <w:p w14:paraId="0F16FA48">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夜间</w:t>
                  </w:r>
                </w:p>
              </w:tc>
              <w:tc>
                <w:tcPr>
                  <w:tcW w:w="2674" w:type="pct"/>
                  <w:vAlign w:val="center"/>
                </w:tcPr>
                <w:p w14:paraId="3C813C8C">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标准来源</w:t>
                  </w:r>
                </w:p>
              </w:tc>
            </w:tr>
            <w:tr w14:paraId="0B0A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2" w:type="pct"/>
                  <w:vAlign w:val="center"/>
                </w:tcPr>
                <w:p w14:paraId="66144080">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厂界</w:t>
                  </w:r>
                </w:p>
              </w:tc>
              <w:tc>
                <w:tcPr>
                  <w:tcW w:w="711" w:type="pct"/>
                  <w:vAlign w:val="center"/>
                </w:tcPr>
                <w:p w14:paraId="40916E8E">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65</w:t>
                  </w:r>
                </w:p>
              </w:tc>
              <w:tc>
                <w:tcPr>
                  <w:tcW w:w="711" w:type="pct"/>
                  <w:vAlign w:val="center"/>
                </w:tcPr>
                <w:p w14:paraId="4FAF7043">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55</w:t>
                  </w:r>
                </w:p>
              </w:tc>
              <w:tc>
                <w:tcPr>
                  <w:tcW w:w="2674" w:type="pct"/>
                  <w:vAlign w:val="center"/>
                </w:tcPr>
                <w:p w14:paraId="178B398C">
                  <w:pPr>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《工业企业厂界环境噪声排放标准》（GB12348-2008）中</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类要求</w:t>
                  </w:r>
                </w:p>
              </w:tc>
            </w:tr>
            <w:tr w14:paraId="439F3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2" w:type="pct"/>
                  <w:vAlign w:val="center"/>
                </w:tcPr>
                <w:p w14:paraId="22753356">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敏感点</w:t>
                  </w:r>
                </w:p>
              </w:tc>
              <w:tc>
                <w:tcPr>
                  <w:tcW w:w="711" w:type="pct"/>
                  <w:vAlign w:val="center"/>
                </w:tcPr>
                <w:p w14:paraId="7CF847A3">
                  <w:pPr>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60</w:t>
                  </w:r>
                </w:p>
              </w:tc>
              <w:tc>
                <w:tcPr>
                  <w:tcW w:w="711" w:type="pct"/>
                  <w:vAlign w:val="center"/>
                </w:tcPr>
                <w:p w14:paraId="2281C0C9">
                  <w:pPr>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2674" w:type="pct"/>
                  <w:vAlign w:val="center"/>
                </w:tcPr>
                <w:p w14:paraId="5D71A84C">
                  <w:pPr>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《工业企业厂界环境噪声排放标准》（GB12348-2008）中</w:t>
                  </w: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类要求</w:t>
                  </w:r>
                </w:p>
              </w:tc>
            </w:tr>
          </w:tbl>
          <w:p w14:paraId="05CA8D82">
            <w:pPr>
              <w:pStyle w:val="54"/>
              <w:ind w:firstLine="0" w:firstLineChars="0"/>
              <w:rPr>
                <w:rFonts w:hint="eastAsia" w:ascii="Times New Roman" w:hAnsi="Times New Roman" w:cs="Times New Roman"/>
                <w:b/>
                <w:bCs/>
                <w:color w:val="auto"/>
                <w:kern w:val="2"/>
                <w:sz w:val="24"/>
                <w:szCs w:val="30"/>
                <w:lang w:val="en-US" w:eastAsia="zh-CN" w:bidi="ar-SA"/>
              </w:rPr>
            </w:pPr>
          </w:p>
          <w:p w14:paraId="284969F6">
            <w:pPr>
              <w:pStyle w:val="54"/>
              <w:ind w:firstLine="0" w:firstLineChars="0"/>
              <w:rPr>
                <w:rFonts w:hint="default" w:ascii="Times New Roman" w:hAnsi="Times New Roman" w:eastAsia="宋体" w:cs="Times New Roman"/>
                <w:b/>
                <w:bCs/>
                <w:color w:val="auto"/>
                <w:kern w:val="2"/>
                <w:sz w:val="24"/>
                <w:szCs w:val="30"/>
                <w:lang w:val="en-US" w:eastAsia="zh-CN" w:bidi="ar-SA"/>
              </w:rPr>
            </w:pPr>
            <w:r>
              <w:rPr>
                <w:rFonts w:hint="eastAsia" w:ascii="Times New Roman" w:hAnsi="Times New Roman" w:cs="Times New Roman"/>
                <w:b/>
                <w:bCs/>
                <w:color w:val="auto"/>
                <w:kern w:val="2"/>
                <w:sz w:val="24"/>
                <w:szCs w:val="30"/>
                <w:lang w:val="en-US" w:eastAsia="zh-CN" w:bidi="ar-SA"/>
              </w:rPr>
              <w:t>四、</w:t>
            </w:r>
            <w:r>
              <w:rPr>
                <w:rFonts w:hint="default" w:ascii="Times New Roman" w:hAnsi="Times New Roman" w:eastAsia="宋体" w:cs="Times New Roman"/>
                <w:b/>
                <w:bCs/>
                <w:color w:val="auto"/>
                <w:kern w:val="2"/>
                <w:sz w:val="24"/>
                <w:szCs w:val="30"/>
                <w:lang w:val="en-US" w:eastAsia="zh-CN" w:bidi="ar-SA"/>
              </w:rPr>
              <w:t>固废执行标准</w:t>
            </w:r>
          </w:p>
          <w:p w14:paraId="66628B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val="0"/>
                <w:color w:val="auto"/>
                <w:kern w:val="0"/>
                <w:sz w:val="24"/>
              </w:rPr>
              <w:t>固废按照《中华人民共和国固体废物污染环境防治法》中有关规定执行。危险废物执行《危险废物贮存污染控制标准》（GB18597-20</w:t>
            </w:r>
            <w:r>
              <w:rPr>
                <w:rFonts w:hint="default" w:ascii="Times New Roman" w:hAnsi="Times New Roman" w:eastAsia="宋体" w:cs="Times New Roman"/>
                <w:snapToGrid w:val="0"/>
                <w:color w:val="auto"/>
                <w:kern w:val="0"/>
                <w:sz w:val="24"/>
                <w:lang w:val="en-US" w:eastAsia="zh-CN"/>
              </w:rPr>
              <w:t>23</w:t>
            </w:r>
            <w:r>
              <w:rPr>
                <w:rFonts w:hint="default" w:ascii="Times New Roman" w:hAnsi="Times New Roman" w:eastAsia="宋体" w:cs="Times New Roman"/>
                <w:snapToGrid w:val="0"/>
                <w:color w:val="auto"/>
                <w:kern w:val="0"/>
                <w:sz w:val="24"/>
              </w:rPr>
              <w:t>），一般工业固体废物执行《一般工业固体废物贮存和填埋污染控制标准》（GB18599-2020）。</w:t>
            </w:r>
          </w:p>
        </w:tc>
      </w:tr>
      <w:tr w14:paraId="2B3D89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2" w:hRule="atLeast"/>
          <w:jc w:val="center"/>
        </w:trPr>
        <w:tc>
          <w:tcPr>
            <w:tcW w:w="474" w:type="dxa"/>
            <w:shd w:val="clear" w:color="auto" w:fill="auto"/>
            <w:noWrap w:val="0"/>
            <w:vAlign w:val="center"/>
          </w:tcPr>
          <w:p w14:paraId="7EDDA71C">
            <w:pPr>
              <w:adjustRightInd w:val="0"/>
              <w:snapToGrid w:val="0"/>
              <w:spacing w:line="240" w:lineRule="auto"/>
              <w:ind w:firstLine="0" w:firstLineChars="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总量</w:t>
            </w:r>
          </w:p>
          <w:p w14:paraId="6999551F">
            <w:pPr>
              <w:adjustRightInd w:val="0"/>
              <w:snapToGrid w:val="0"/>
              <w:spacing w:line="240" w:lineRule="auto"/>
              <w:ind w:firstLine="0" w:firstLineChars="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控制</w:t>
            </w:r>
          </w:p>
          <w:p w14:paraId="198D69D0">
            <w:pPr>
              <w:adjustRightInd w:val="0"/>
              <w:snapToGrid w:val="0"/>
              <w:spacing w:line="240" w:lineRule="auto"/>
              <w:ind w:firstLine="0" w:firstLineChars="0"/>
              <w:jc w:val="center"/>
              <w:rPr>
                <w:rFonts w:hint="default" w:ascii="Times New Roman" w:hAnsi="Times New Roman" w:eastAsia="宋体" w:cs="Times New Roman"/>
                <w:color w:val="auto"/>
                <w:kern w:val="0"/>
                <w:sz w:val="24"/>
                <w:szCs w:val="21"/>
                <w:highlight w:val="none"/>
                <w:lang w:val="en-US" w:eastAsia="zh-CN" w:bidi="ar-SA"/>
              </w:rPr>
            </w:pPr>
            <w:r>
              <w:rPr>
                <w:rFonts w:hint="default" w:ascii="Times New Roman" w:hAnsi="Times New Roman" w:eastAsia="宋体" w:cs="Times New Roman"/>
                <w:color w:val="auto"/>
                <w:kern w:val="0"/>
                <w:szCs w:val="21"/>
                <w:highlight w:val="none"/>
              </w:rPr>
              <w:t>指标</w:t>
            </w:r>
          </w:p>
        </w:tc>
        <w:tc>
          <w:tcPr>
            <w:tcW w:w="8048" w:type="dxa"/>
            <w:shd w:val="clear" w:color="auto" w:fill="auto"/>
            <w:noWrap w:val="0"/>
            <w:vAlign w:val="center"/>
          </w:tcPr>
          <w:p w14:paraId="1233E094">
            <w:pPr>
              <w:pStyle w:val="5"/>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总量控制指标</w:t>
            </w:r>
          </w:p>
          <w:p w14:paraId="4E161F34">
            <w:pPr>
              <w:adjustRightInd w:val="0"/>
              <w:snapToGrid w:val="0"/>
              <w:spacing w:line="360" w:lineRule="auto"/>
              <w:jc w:val="left"/>
              <w:rPr>
                <w:rFonts w:ascii="Times New Roman" w:hAnsi="Times New Roman"/>
                <w:b/>
                <w:color w:val="auto"/>
                <w:kern w:val="0"/>
                <w:sz w:val="24"/>
                <w:highlight w:val="none"/>
              </w:rPr>
            </w:pPr>
            <w:r>
              <w:rPr>
                <w:rFonts w:ascii="Times New Roman" w:hAnsi="Times New Roman"/>
                <w:b/>
                <w:color w:val="auto"/>
                <w:kern w:val="0"/>
                <w:sz w:val="24"/>
                <w:highlight w:val="none"/>
              </w:rPr>
              <w:t>1、废气：</w:t>
            </w:r>
          </w:p>
          <w:p w14:paraId="24A4837C">
            <w:pPr>
              <w:adjustRightInd w:val="0"/>
              <w:snapToGrid w:val="0"/>
              <w:spacing w:line="360" w:lineRule="auto"/>
              <w:ind w:firstLine="480" w:firstLineChars="200"/>
              <w:jc w:val="left"/>
              <w:rPr>
                <w:rFonts w:hint="eastAsia" w:ascii="Times New Roman" w:hAnsi="Times New Roman" w:eastAsia="宋体"/>
                <w:i w:val="0"/>
                <w:iCs w:val="0"/>
                <w:color w:val="auto"/>
                <w:kern w:val="0"/>
                <w:sz w:val="24"/>
                <w:highlight w:val="none"/>
                <w:lang w:eastAsia="zh-CN"/>
              </w:rPr>
            </w:pPr>
            <w:r>
              <w:rPr>
                <w:rFonts w:hint="eastAsia" w:ascii="Times New Roman" w:hAnsi="Times New Roman"/>
                <w:i w:val="0"/>
                <w:iCs w:val="0"/>
                <w:color w:val="auto"/>
                <w:kern w:val="0"/>
                <w:sz w:val="24"/>
                <w:highlight w:val="none"/>
              </w:rPr>
              <w:t>本项目废气中</w:t>
            </w:r>
            <w:r>
              <w:rPr>
                <w:rFonts w:hint="eastAsia"/>
                <w:i w:val="0"/>
                <w:iCs w:val="0"/>
                <w:color w:val="auto"/>
                <w:kern w:val="0"/>
                <w:sz w:val="24"/>
                <w:highlight w:val="none"/>
                <w:lang w:eastAsia="zh-CN"/>
              </w:rPr>
              <w:t>颗粒物有组织排放量为</w:t>
            </w:r>
            <w:r>
              <w:rPr>
                <w:rFonts w:hint="eastAsia"/>
                <w:i w:val="0"/>
                <w:iCs w:val="0"/>
                <w:color w:val="auto"/>
                <w:kern w:val="0"/>
                <w:sz w:val="24"/>
                <w:highlight w:val="none"/>
                <w:lang w:val="en-US" w:eastAsia="zh-CN"/>
              </w:rPr>
              <w:t>0.1192t/a，VOC</w:t>
            </w:r>
            <w:r>
              <w:rPr>
                <w:rFonts w:hint="eastAsia"/>
                <w:i w:val="0"/>
                <w:iCs w:val="0"/>
                <w:color w:val="auto"/>
                <w:kern w:val="0"/>
                <w:sz w:val="24"/>
                <w:highlight w:val="none"/>
                <w:vertAlign w:val="subscript"/>
                <w:lang w:val="en-US" w:eastAsia="zh-CN"/>
              </w:rPr>
              <w:t>S</w:t>
            </w:r>
            <w:r>
              <w:rPr>
                <w:rFonts w:hint="eastAsia" w:ascii="Times New Roman" w:hAnsi="Times New Roman"/>
                <w:i w:val="0"/>
                <w:iCs w:val="0"/>
                <w:color w:val="auto"/>
                <w:kern w:val="0"/>
                <w:sz w:val="24"/>
                <w:highlight w:val="none"/>
                <w:lang w:eastAsia="zh-CN"/>
              </w:rPr>
              <w:t>有组织排放量为</w:t>
            </w:r>
            <w:r>
              <w:rPr>
                <w:rFonts w:hint="eastAsia" w:cs="Times New Roman"/>
                <w:i w:val="0"/>
                <w:iCs w:val="0"/>
                <w:color w:val="auto"/>
                <w:sz w:val="24"/>
                <w:szCs w:val="24"/>
                <w:highlight w:val="none"/>
                <w:lang w:val="en-US" w:eastAsia="zh-CN"/>
              </w:rPr>
              <w:t>0.333</w:t>
            </w:r>
            <w:r>
              <w:rPr>
                <w:rFonts w:hint="eastAsia" w:ascii="Times New Roman" w:hAnsi="Times New Roman"/>
                <w:i w:val="0"/>
                <w:iCs w:val="0"/>
                <w:color w:val="auto"/>
                <w:kern w:val="0"/>
                <w:sz w:val="24"/>
                <w:highlight w:val="none"/>
              </w:rPr>
              <w:t>t/a</w:t>
            </w:r>
            <w:r>
              <w:rPr>
                <w:rFonts w:hint="eastAsia" w:ascii="Times New Roman" w:hAnsi="Times New Roman"/>
                <w:i w:val="0"/>
                <w:iCs w:val="0"/>
                <w:color w:val="auto"/>
                <w:kern w:val="0"/>
                <w:sz w:val="24"/>
                <w:highlight w:val="none"/>
                <w:lang w:val="en-US" w:eastAsia="zh-CN"/>
              </w:rPr>
              <w:t>，</w:t>
            </w:r>
            <w:r>
              <w:rPr>
                <w:rFonts w:hint="eastAsia" w:ascii="Times New Roman" w:hAnsi="Times New Roman"/>
                <w:i w:val="0"/>
                <w:iCs w:val="0"/>
                <w:color w:val="auto"/>
                <w:kern w:val="0"/>
                <w:sz w:val="24"/>
                <w:highlight w:val="none"/>
              </w:rPr>
              <w:t>建议申请总量指标为</w:t>
            </w:r>
            <w:r>
              <w:rPr>
                <w:rFonts w:hint="eastAsia"/>
                <w:i w:val="0"/>
                <w:iCs w:val="0"/>
                <w:color w:val="auto"/>
                <w:kern w:val="0"/>
                <w:sz w:val="24"/>
                <w:highlight w:val="none"/>
                <w:lang w:eastAsia="zh-CN"/>
              </w:rPr>
              <w:t>颗粒物：</w:t>
            </w:r>
            <w:r>
              <w:rPr>
                <w:rFonts w:hint="eastAsia"/>
                <w:i w:val="0"/>
                <w:iCs w:val="0"/>
                <w:color w:val="auto"/>
                <w:kern w:val="0"/>
                <w:sz w:val="24"/>
                <w:highlight w:val="none"/>
                <w:lang w:val="en-US" w:eastAsia="zh-CN"/>
              </w:rPr>
              <w:t>0.1192t/a，VOC</w:t>
            </w:r>
            <w:r>
              <w:rPr>
                <w:rFonts w:hint="eastAsia"/>
                <w:i w:val="0"/>
                <w:iCs w:val="0"/>
                <w:color w:val="auto"/>
                <w:kern w:val="0"/>
                <w:sz w:val="24"/>
                <w:highlight w:val="none"/>
                <w:vertAlign w:val="subscript"/>
                <w:lang w:val="en-US" w:eastAsia="zh-CN"/>
              </w:rPr>
              <w:t>S</w:t>
            </w:r>
            <w:r>
              <w:rPr>
                <w:rFonts w:hint="eastAsia"/>
                <w:i w:val="0"/>
                <w:iCs w:val="0"/>
                <w:color w:val="auto"/>
                <w:kern w:val="0"/>
                <w:sz w:val="24"/>
                <w:highlight w:val="none"/>
                <w:vertAlign w:val="baseline"/>
                <w:lang w:val="en-US" w:eastAsia="zh-CN"/>
              </w:rPr>
              <w:t>：</w:t>
            </w:r>
            <w:r>
              <w:rPr>
                <w:rFonts w:hint="eastAsia"/>
                <w:i w:val="0"/>
                <w:iCs w:val="0"/>
                <w:color w:val="auto"/>
                <w:kern w:val="0"/>
                <w:sz w:val="24"/>
                <w:highlight w:val="none"/>
                <w:lang w:val="en-US" w:eastAsia="zh-CN"/>
              </w:rPr>
              <w:t>0.333t/a</w:t>
            </w:r>
            <w:r>
              <w:rPr>
                <w:rFonts w:hint="eastAsia" w:ascii="Times New Roman" w:hAnsi="Times New Roman"/>
                <w:kern w:val="0"/>
                <w:sz w:val="24"/>
                <w:highlight w:val="none"/>
              </w:rPr>
              <w:t>，需向有</w:t>
            </w:r>
            <w:r>
              <w:rPr>
                <w:rFonts w:hint="eastAsia" w:ascii="Times New Roman" w:hAnsi="Times New Roman"/>
                <w:kern w:val="0"/>
                <w:sz w:val="24"/>
              </w:rPr>
              <w:t>审批权的生态环境主管部门申请，经批准后方可实施。</w:t>
            </w:r>
          </w:p>
          <w:p w14:paraId="33A3D3AD">
            <w:pPr>
              <w:adjustRightInd w:val="0"/>
              <w:snapToGrid w:val="0"/>
              <w:spacing w:line="360" w:lineRule="auto"/>
              <w:jc w:val="left"/>
              <w:rPr>
                <w:rFonts w:ascii="Times New Roman" w:hAnsi="Times New Roman"/>
                <w:b/>
                <w:color w:val="auto"/>
                <w:kern w:val="0"/>
                <w:sz w:val="24"/>
                <w:highlight w:val="none"/>
              </w:rPr>
            </w:pPr>
            <w:r>
              <w:rPr>
                <w:rFonts w:ascii="Times New Roman" w:hAnsi="Times New Roman"/>
                <w:b/>
                <w:color w:val="auto"/>
                <w:kern w:val="0"/>
                <w:sz w:val="24"/>
                <w:highlight w:val="none"/>
              </w:rPr>
              <w:t>2、废水：</w:t>
            </w:r>
          </w:p>
          <w:p w14:paraId="2155AE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本项目废水污染物排放总量纳入</w:t>
            </w:r>
            <w:r>
              <w:rPr>
                <w:rFonts w:hint="eastAsia" w:cs="Times New Roman"/>
                <w:color w:val="auto"/>
                <w:kern w:val="0"/>
                <w:sz w:val="24"/>
                <w:highlight w:val="none"/>
                <w:lang w:val="en-US" w:eastAsia="zh-CN"/>
              </w:rPr>
              <w:t>蚌埠市第二</w:t>
            </w:r>
            <w:r>
              <w:rPr>
                <w:rFonts w:hint="eastAsia" w:ascii="Times New Roman" w:hAnsi="Times New Roman" w:eastAsia="宋体" w:cs="Times New Roman"/>
                <w:color w:val="auto"/>
                <w:kern w:val="0"/>
                <w:sz w:val="24"/>
                <w:highlight w:val="none"/>
                <w:lang w:val="en-US" w:eastAsia="zh-CN"/>
              </w:rPr>
              <w:t>污水处理厂的总量范围内，全部由污水处理厂统一消减，因此本项目无需申请COD、NH</w:t>
            </w:r>
            <w:r>
              <w:rPr>
                <w:rFonts w:hint="eastAsia" w:ascii="Times New Roman" w:hAnsi="Times New Roman" w:eastAsia="宋体" w:cs="Times New Roman"/>
                <w:color w:val="auto"/>
                <w:kern w:val="0"/>
                <w:sz w:val="24"/>
                <w:highlight w:val="none"/>
                <w:vertAlign w:val="subscript"/>
                <w:lang w:val="en-US" w:eastAsia="zh-CN"/>
              </w:rPr>
              <w:t>3</w:t>
            </w:r>
            <w:r>
              <w:rPr>
                <w:rFonts w:hint="eastAsia" w:ascii="Times New Roman" w:hAnsi="Times New Roman" w:eastAsia="宋体" w:cs="Times New Roman"/>
                <w:color w:val="auto"/>
                <w:kern w:val="0"/>
                <w:sz w:val="24"/>
                <w:highlight w:val="none"/>
                <w:lang w:val="en-US" w:eastAsia="zh-CN"/>
              </w:rPr>
              <w:t>-N</w:t>
            </w:r>
            <w:r>
              <w:rPr>
                <w:rFonts w:hint="eastAsia" w:cs="Times New Roman"/>
                <w:color w:val="auto"/>
                <w:kern w:val="0"/>
                <w:sz w:val="24"/>
                <w:highlight w:val="none"/>
                <w:lang w:val="en-US" w:eastAsia="zh-CN"/>
              </w:rPr>
              <w:t>、TP</w:t>
            </w:r>
            <w:r>
              <w:rPr>
                <w:rFonts w:hint="eastAsia" w:ascii="Times New Roman" w:hAnsi="Times New Roman" w:eastAsia="宋体" w:cs="Times New Roman"/>
                <w:color w:val="auto"/>
                <w:kern w:val="0"/>
                <w:sz w:val="24"/>
                <w:highlight w:val="none"/>
                <w:lang w:val="en-US" w:eastAsia="zh-CN"/>
              </w:rPr>
              <w:t>总量。</w:t>
            </w:r>
          </w:p>
          <w:p w14:paraId="6F2FDF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napToGrid w:val="0"/>
                <w:color w:val="auto"/>
                <w:kern w:val="0"/>
                <w:sz w:val="24"/>
                <w:highlight w:val="none"/>
                <w:lang w:val="en-US" w:eastAsia="zh-CN"/>
              </w:rPr>
            </w:pPr>
          </w:p>
        </w:tc>
      </w:tr>
    </w:tbl>
    <w:p w14:paraId="15CDA142">
      <w:pPr>
        <w:rPr>
          <w:color w:val="auto"/>
        </w:rPr>
      </w:pPr>
      <w:r>
        <w:rPr>
          <w:color w:val="auto"/>
        </w:rPr>
        <w:br w:type="page"/>
      </w:r>
    </w:p>
    <w:p w14:paraId="56FA9BA1">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highlight w:val="none"/>
        </w:rPr>
      </w:pPr>
      <w:bookmarkStart w:id="20" w:name="_Toc7893"/>
      <w:bookmarkStart w:id="21" w:name="_Toc22458"/>
      <w:bookmarkStart w:id="22" w:name="_Toc20737"/>
      <w:r>
        <w:rPr>
          <w:rFonts w:hint="default" w:ascii="Times New Roman" w:hAnsi="Times New Roman" w:eastAsia="黑体" w:cs="Times New Roman"/>
          <w:color w:val="auto"/>
          <w:sz w:val="30"/>
          <w:szCs w:val="30"/>
          <w:highlight w:val="none"/>
        </w:rPr>
        <w:t>四、主要环境影响和保护措施</w:t>
      </w:r>
      <w:bookmarkEnd w:id="20"/>
      <w:bookmarkEnd w:id="21"/>
      <w:bookmarkEnd w:id="22"/>
    </w:p>
    <w:tbl>
      <w:tblPr>
        <w:tblStyle w:val="25"/>
        <w:tblW w:w="50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73"/>
        <w:gridCol w:w="8029"/>
      </w:tblGrid>
      <w:tr w14:paraId="307754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tcMar>
              <w:left w:w="28" w:type="dxa"/>
              <w:right w:w="28" w:type="dxa"/>
            </w:tcMar>
            <w:vAlign w:val="center"/>
          </w:tcPr>
          <w:p w14:paraId="085D9E90">
            <w:pPr>
              <w:adjustRightInd w:val="0"/>
              <w:snapToGrid w:val="0"/>
              <w:spacing w:line="240" w:lineRule="auto"/>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施工期环境保</w:t>
            </w:r>
          </w:p>
          <w:p w14:paraId="34DD7BF8">
            <w:pPr>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highlight w:val="none"/>
              </w:rPr>
              <w:t>护措施</w:t>
            </w:r>
          </w:p>
        </w:tc>
        <w:tc>
          <w:tcPr>
            <w:tcW w:w="4666" w:type="pct"/>
            <w:vAlign w:val="center"/>
          </w:tcPr>
          <w:p w14:paraId="593C82E1">
            <w:pPr>
              <w:ind w:firstLine="480"/>
              <w:jc w:val="left"/>
              <w:rPr>
                <w:rFonts w:hint="default" w:ascii="Times New Roman" w:hAnsi="Times New Roman" w:eastAsia="宋体" w:cs="Times New Roman"/>
                <w:color w:val="auto"/>
                <w:highlight w:val="none"/>
              </w:rPr>
            </w:pPr>
            <w:r>
              <w:rPr>
                <w:rFonts w:hint="default" w:ascii="Times New Roman" w:hAnsi="Times New Roman" w:cs="Times New Roman"/>
                <w:color w:val="auto"/>
                <w:lang w:val="en-US" w:eastAsia="zh-CN"/>
              </w:rPr>
              <w:t>本项目租赁厂房进行项目的建设，厂房为已建成厂房，施工期污染物主要为设备安装时期施工人员产生的少量生活污水和垃圾，故本次评价对施工期环境影响不作分析。</w:t>
            </w:r>
          </w:p>
        </w:tc>
      </w:tr>
      <w:tr w14:paraId="7B462A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shd w:val="clear" w:color="auto" w:fill="auto"/>
            <w:tcMar>
              <w:left w:w="28" w:type="dxa"/>
              <w:right w:w="28" w:type="dxa"/>
            </w:tcMar>
            <w:vAlign w:val="center"/>
          </w:tcPr>
          <w:p w14:paraId="4BC4EBBF">
            <w:pPr>
              <w:adjustRightInd w:val="0"/>
              <w:snapToGrid w:val="0"/>
              <w:spacing w:line="240" w:lineRule="auto"/>
              <w:ind w:firstLine="0" w:firstLineChars="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运营</w:t>
            </w:r>
          </w:p>
          <w:p w14:paraId="4B02568A">
            <w:pPr>
              <w:adjustRightInd w:val="0"/>
              <w:snapToGrid w:val="0"/>
              <w:spacing w:line="240" w:lineRule="auto"/>
              <w:ind w:firstLine="0" w:firstLineChars="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期环</w:t>
            </w:r>
          </w:p>
          <w:p w14:paraId="7C79B9BA">
            <w:pPr>
              <w:adjustRightInd w:val="0"/>
              <w:snapToGrid w:val="0"/>
              <w:spacing w:line="240" w:lineRule="auto"/>
              <w:ind w:firstLine="0" w:firstLineChars="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境影</w:t>
            </w:r>
          </w:p>
          <w:p w14:paraId="37E45DA3">
            <w:pPr>
              <w:adjustRightInd w:val="0"/>
              <w:snapToGrid w:val="0"/>
              <w:spacing w:line="240" w:lineRule="auto"/>
              <w:ind w:firstLine="0" w:firstLineChars="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响和</w:t>
            </w:r>
          </w:p>
          <w:p w14:paraId="015815B7">
            <w:pPr>
              <w:adjustRightInd w:val="0"/>
              <w:snapToGrid w:val="0"/>
              <w:spacing w:line="240" w:lineRule="auto"/>
              <w:ind w:firstLine="0" w:firstLineChars="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保护</w:t>
            </w:r>
          </w:p>
          <w:p w14:paraId="56377A2B">
            <w:pPr>
              <w:adjustRightInd w:val="0"/>
              <w:snapToGrid w:val="0"/>
              <w:spacing w:line="240" w:lineRule="auto"/>
              <w:ind w:firstLine="0" w:firstLineChars="0"/>
              <w:jc w:val="center"/>
              <w:rPr>
                <w:rFonts w:hint="default" w:ascii="Times New Roman" w:hAnsi="Times New Roman" w:eastAsia="宋体" w:cs="Times New Roman"/>
                <w:bCs/>
                <w:color w:val="auto"/>
                <w:kern w:val="2"/>
                <w:sz w:val="24"/>
                <w:szCs w:val="21"/>
                <w:highlight w:val="none"/>
                <w:lang w:val="en-US" w:eastAsia="zh-CN" w:bidi="ar-SA"/>
              </w:rPr>
            </w:pPr>
            <w:r>
              <w:rPr>
                <w:rFonts w:hint="default" w:ascii="Times New Roman" w:hAnsi="Times New Roman" w:eastAsia="宋体" w:cs="Times New Roman"/>
                <w:bCs/>
                <w:color w:val="auto"/>
                <w:szCs w:val="21"/>
                <w:highlight w:val="none"/>
              </w:rPr>
              <w:t>措施</w:t>
            </w:r>
          </w:p>
        </w:tc>
        <w:tc>
          <w:tcPr>
            <w:tcW w:w="4666" w:type="pct"/>
            <w:shd w:val="clear" w:color="auto" w:fill="auto"/>
            <w:vAlign w:val="top"/>
          </w:tcPr>
          <w:p w14:paraId="419585C4">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本次评价参照《污染源源强核算技术指南 总则》（HJ884-2018）进行各污染因子源强核算。废气源强采用产污系数进行核算；废水污染源源强采用类比法进行核算；噪声污染源源强采用类比法进行核算；固体废物污染源源强采用类比法进行核算。</w:t>
            </w:r>
          </w:p>
          <w:p w14:paraId="714F5BB3">
            <w:pPr>
              <w:pStyle w:val="33"/>
              <w:numPr>
                <w:ilvl w:val="0"/>
                <w:numId w:val="7"/>
              </w:numPr>
              <w:spacing w:line="360" w:lineRule="auto"/>
              <w:ind w:firstLine="482" w:firstLineChars="200"/>
              <w:rPr>
                <w:rFonts w:hint="default" w:ascii="Times New Roman" w:hAnsi="Times New Roman" w:cs="Times New Roman"/>
                <w:b/>
                <w:bCs w:val="0"/>
                <w:color w:val="auto"/>
              </w:rPr>
            </w:pPr>
            <w:r>
              <w:rPr>
                <w:rFonts w:hint="default" w:ascii="Times New Roman" w:hAnsi="Times New Roman" w:cs="Times New Roman"/>
                <w:b/>
                <w:bCs w:val="0"/>
                <w:color w:val="auto"/>
              </w:rPr>
              <w:t>废气</w:t>
            </w:r>
          </w:p>
          <w:p w14:paraId="79B340F4">
            <w:pPr>
              <w:pStyle w:val="67"/>
              <w:adjustRightInd/>
              <w:snapToGrid/>
              <w:ind w:firstLine="482"/>
              <w:rPr>
                <w:rFonts w:hint="default" w:ascii="Times New Roman" w:hAnsi="Times New Roman" w:cs="Times New Roman"/>
                <w:color w:val="auto"/>
              </w:rPr>
            </w:pPr>
            <w:r>
              <w:rPr>
                <w:rFonts w:hint="default" w:ascii="Times New Roman" w:hAnsi="Times New Roman" w:cs="Times New Roman"/>
                <w:b/>
                <w:color w:val="auto"/>
                <w:szCs w:val="24"/>
                <w:lang w:val="en-US" w:eastAsia="zh-CN"/>
              </w:rPr>
              <w:t>1、项目废气源强分析</w:t>
            </w:r>
          </w:p>
          <w:p w14:paraId="71A36C95">
            <w:pPr>
              <w:pStyle w:val="67"/>
              <w:ind w:firstLine="48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项目</w:t>
            </w:r>
            <w:r>
              <w:rPr>
                <w:rFonts w:hint="default" w:ascii="Times New Roman" w:hAnsi="Times New Roman" w:cs="Times New Roman"/>
                <w:color w:val="auto"/>
                <w:sz w:val="24"/>
                <w:szCs w:val="24"/>
                <w:lang w:eastAsia="zh-CN"/>
              </w:rPr>
              <w:t>运营期废气主要为注塑</w:t>
            </w:r>
            <w:r>
              <w:rPr>
                <w:rFonts w:hint="default" w:ascii="Times New Roman" w:hAnsi="Times New Roman" w:cs="Times New Roman"/>
                <w:color w:val="auto"/>
                <w:sz w:val="24"/>
                <w:szCs w:val="24"/>
                <w:lang w:val="en-US" w:eastAsia="zh-CN"/>
              </w:rPr>
              <w:t>过程中产生的有机废气、臭气浓度，喷漆过程中产生的颗粒物、非甲烷总烃</w:t>
            </w:r>
            <w:r>
              <w:rPr>
                <w:rFonts w:hint="eastAsia" w:cs="Times New Roman"/>
                <w:color w:val="auto"/>
                <w:sz w:val="24"/>
                <w:szCs w:val="24"/>
                <w:lang w:val="en-US" w:eastAsia="zh-CN"/>
              </w:rPr>
              <w:t>以及破损过程中产生的颗粒物</w:t>
            </w:r>
            <w:r>
              <w:rPr>
                <w:rFonts w:hint="default" w:ascii="Times New Roman" w:hAnsi="Times New Roman" w:cs="Times New Roman"/>
                <w:color w:val="auto"/>
                <w:sz w:val="24"/>
                <w:szCs w:val="24"/>
                <w:lang w:val="en-US" w:eastAsia="zh-CN"/>
              </w:rPr>
              <w:t>。</w:t>
            </w:r>
          </w:p>
          <w:p w14:paraId="7801BBBF">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）注塑废气</w:t>
            </w:r>
          </w:p>
          <w:p w14:paraId="517B441F">
            <w:pPr>
              <w:pStyle w:val="67"/>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注塑</w:t>
            </w:r>
            <w:r>
              <w:rPr>
                <w:rFonts w:hint="default" w:ascii="Times New Roman" w:hAnsi="Times New Roman" w:eastAsia="宋体" w:cs="Times New Roman"/>
                <w:color w:val="auto"/>
                <w:sz w:val="24"/>
                <w:szCs w:val="24"/>
              </w:rPr>
              <w:t>废气通过在</w:t>
            </w:r>
            <w:r>
              <w:rPr>
                <w:rFonts w:hint="default" w:ascii="Times New Roman" w:hAnsi="Times New Roman" w:eastAsia="宋体" w:cs="Times New Roman"/>
                <w:color w:val="auto"/>
                <w:sz w:val="24"/>
                <w:szCs w:val="24"/>
                <w:lang w:eastAsia="zh-CN"/>
              </w:rPr>
              <w:t>注塑</w:t>
            </w:r>
            <w:r>
              <w:rPr>
                <w:rFonts w:hint="default" w:ascii="Times New Roman" w:hAnsi="Times New Roman" w:eastAsia="宋体" w:cs="Times New Roman"/>
                <w:color w:val="auto"/>
                <w:sz w:val="24"/>
                <w:szCs w:val="24"/>
              </w:rPr>
              <w:t>机四周设置</w:t>
            </w:r>
            <w:r>
              <w:rPr>
                <w:rFonts w:hint="default" w:ascii="Times New Roman" w:hAnsi="Times New Roman" w:eastAsia="宋体" w:cs="Times New Roman"/>
                <w:color w:val="auto"/>
                <w:sz w:val="24"/>
                <w:szCs w:val="24"/>
                <w:lang w:eastAsia="zh-CN"/>
              </w:rPr>
              <w:t>集气罩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废气</w:t>
            </w:r>
            <w:r>
              <w:rPr>
                <w:rFonts w:hint="default" w:ascii="Times New Roman" w:hAnsi="Times New Roman" w:eastAsia="宋体" w:cs="Times New Roman"/>
                <w:color w:val="auto"/>
                <w:sz w:val="24"/>
                <w:szCs w:val="24"/>
              </w:rPr>
              <w:t>收集后经活性炭吸附装置处理后，通过15m高排气筒（DA001）排放。</w:t>
            </w:r>
          </w:p>
          <w:p w14:paraId="1A209FBA">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①非甲烷总烃</w:t>
            </w:r>
          </w:p>
          <w:p w14:paraId="36538ED4">
            <w:pPr>
              <w:pStyle w:val="67"/>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聚</w:t>
            </w:r>
            <w:r>
              <w:rPr>
                <w:rFonts w:hint="default" w:ascii="Times New Roman" w:hAnsi="Times New Roman" w:eastAsia="宋体" w:cs="Times New Roman"/>
                <w:color w:val="auto"/>
                <w:sz w:val="24"/>
                <w:szCs w:val="24"/>
                <w:lang w:eastAsia="zh-CN"/>
              </w:rPr>
              <w:t>丙</w:t>
            </w:r>
            <w:r>
              <w:rPr>
                <w:rFonts w:hint="default" w:ascii="Times New Roman" w:hAnsi="Times New Roman" w:eastAsia="宋体" w:cs="Times New Roman"/>
                <w:color w:val="auto"/>
                <w:sz w:val="24"/>
                <w:szCs w:val="24"/>
              </w:rPr>
              <w:t>烯在生产加热过程中会产生挥发性有机物，本次评价以非甲烷总烃计。根据</w:t>
            </w:r>
            <w:r>
              <w:rPr>
                <w:rFonts w:hint="default" w:ascii="Times New Roman" w:hAnsi="Times New Roman" w:eastAsia="宋体" w:cs="Times New Roman"/>
                <w:color w:val="auto"/>
                <w:sz w:val="24"/>
                <w:szCs w:val="24"/>
                <w:lang w:val="en-US" w:eastAsia="zh-CN"/>
              </w:rPr>
              <w:t>《排放源统计调查产排污核算方法和系数手册》中292塑料制品业系数手册中22927 日用塑料制品制造行业系数表：日用塑料制品采用树脂为原料，通过配料、混合、挤出/注塑工艺生产塑料零件的挥发性有机物产污系数为2.7kg/t-产品</w:t>
            </w:r>
            <w:r>
              <w:rPr>
                <w:rFonts w:hint="default" w:ascii="Times New Roman" w:hAnsi="Times New Roman" w:eastAsia="宋体" w:cs="Times New Roman"/>
                <w:color w:val="auto"/>
                <w:sz w:val="24"/>
                <w:szCs w:val="24"/>
              </w:rPr>
              <w:t>，以非甲烷总烃计。</w:t>
            </w:r>
          </w:p>
          <w:p w14:paraId="220D8D1F">
            <w:pPr>
              <w:pStyle w:val="67"/>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根据产品方案，本项目使用聚</w:t>
            </w:r>
            <w:r>
              <w:rPr>
                <w:rFonts w:hint="default" w:ascii="Times New Roman" w:hAnsi="Times New Roman" w:eastAsia="宋体" w:cs="Times New Roman"/>
                <w:color w:val="auto"/>
                <w:sz w:val="24"/>
                <w:szCs w:val="24"/>
                <w:lang w:eastAsia="zh-CN"/>
              </w:rPr>
              <w:t>丙</w:t>
            </w:r>
            <w:r>
              <w:rPr>
                <w:rFonts w:hint="default" w:ascii="Times New Roman" w:hAnsi="Times New Roman" w:eastAsia="宋体" w:cs="Times New Roman"/>
                <w:color w:val="auto"/>
                <w:sz w:val="24"/>
                <w:szCs w:val="24"/>
              </w:rPr>
              <w:t>烯</w:t>
            </w:r>
            <w:r>
              <w:rPr>
                <w:rFonts w:hint="default" w:ascii="Times New Roman" w:hAnsi="Times New Roman" w:eastAsia="宋体" w:cs="Times New Roman"/>
                <w:color w:val="auto"/>
                <w:sz w:val="24"/>
                <w:szCs w:val="24"/>
                <w:lang w:eastAsia="zh-CN"/>
              </w:rPr>
              <w:t>颗粒</w:t>
            </w:r>
            <w:r>
              <w:rPr>
                <w:rFonts w:hint="default" w:ascii="Times New Roman" w:hAnsi="Times New Roman" w:eastAsia="宋体" w:cs="Times New Roman"/>
                <w:color w:val="auto"/>
                <w:sz w:val="24"/>
                <w:szCs w:val="24"/>
              </w:rPr>
              <w:t>材料生产的产品约为</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00t/a，则非甲烷总烃的产生量为</w:t>
            </w:r>
            <w:r>
              <w:rPr>
                <w:rFonts w:hint="eastAsia" w:ascii="Times New Roman" w:hAnsi="Times New Roman" w:eastAsia="宋体" w:cs="Times New Roman"/>
                <w:color w:val="auto"/>
                <w:sz w:val="24"/>
                <w:szCs w:val="24"/>
                <w:lang w:val="en-US" w:eastAsia="zh-CN"/>
              </w:rPr>
              <w:t>3.24</w:t>
            </w:r>
            <w:r>
              <w:rPr>
                <w:rFonts w:hint="default" w:ascii="Times New Roman" w:hAnsi="Times New Roman" w:eastAsia="宋体" w:cs="Times New Roman"/>
                <w:color w:val="auto"/>
                <w:sz w:val="24"/>
                <w:szCs w:val="24"/>
              </w:rPr>
              <w:t>t/a。有机废气收集效率以90%计、处理效率以90%计。</w:t>
            </w:r>
          </w:p>
          <w:p w14:paraId="1034EFCA">
            <w:pPr>
              <w:pStyle w:val="67"/>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则本项目非甲烷总烃有组织产生量</w:t>
            </w:r>
            <w:r>
              <w:rPr>
                <w:rFonts w:hint="eastAsia" w:ascii="Times New Roman" w:hAnsi="Times New Roman" w:eastAsia="宋体" w:cs="Times New Roman"/>
                <w:color w:val="auto"/>
                <w:sz w:val="24"/>
                <w:szCs w:val="24"/>
                <w:lang w:val="en-US" w:eastAsia="zh-CN"/>
              </w:rPr>
              <w:t>2.916</w:t>
            </w:r>
            <w:r>
              <w:rPr>
                <w:rFonts w:hint="default" w:ascii="Times New Roman" w:hAnsi="Times New Roman" w:eastAsia="宋体" w:cs="Times New Roman"/>
                <w:color w:val="auto"/>
                <w:sz w:val="24"/>
                <w:szCs w:val="24"/>
              </w:rPr>
              <w:t>t/a，有组织产生速率</w:t>
            </w:r>
            <w:r>
              <w:rPr>
                <w:rFonts w:hint="eastAsia" w:ascii="Times New Roman" w:hAnsi="Times New Roman" w:eastAsia="宋体" w:cs="Times New Roman"/>
                <w:color w:val="auto"/>
                <w:sz w:val="24"/>
                <w:szCs w:val="24"/>
                <w:lang w:val="en-US" w:eastAsia="zh-CN"/>
              </w:rPr>
              <w:t>1.215</w:t>
            </w:r>
            <w:r>
              <w:rPr>
                <w:rFonts w:hint="default" w:ascii="Times New Roman" w:hAnsi="Times New Roman" w:eastAsia="宋体" w:cs="Times New Roman"/>
                <w:color w:val="auto"/>
                <w:sz w:val="24"/>
                <w:szCs w:val="24"/>
              </w:rPr>
              <w:t>kg/h；有组织排放量为0.</w:t>
            </w:r>
            <w:r>
              <w:rPr>
                <w:rFonts w:hint="eastAsia" w:ascii="Times New Roman" w:hAnsi="Times New Roman" w:eastAsia="宋体" w:cs="Times New Roman"/>
                <w:color w:val="auto"/>
                <w:sz w:val="24"/>
                <w:szCs w:val="24"/>
                <w:lang w:val="en-US" w:eastAsia="zh-CN"/>
              </w:rPr>
              <w:t>292</w:t>
            </w:r>
            <w:r>
              <w:rPr>
                <w:rFonts w:hint="default" w:ascii="Times New Roman" w:hAnsi="Times New Roman" w:eastAsia="宋体" w:cs="Times New Roman"/>
                <w:color w:val="auto"/>
                <w:sz w:val="24"/>
                <w:szCs w:val="24"/>
              </w:rPr>
              <w:t>t/a，有组织排放速率0.</w:t>
            </w:r>
            <w:r>
              <w:rPr>
                <w:rFonts w:hint="eastAsia" w:ascii="Times New Roman" w:hAnsi="Times New Roman" w:eastAsia="宋体" w:cs="Times New Roman"/>
                <w:color w:val="auto"/>
                <w:sz w:val="24"/>
                <w:szCs w:val="24"/>
                <w:lang w:val="en-US" w:eastAsia="zh-CN"/>
              </w:rPr>
              <w:t>121</w:t>
            </w:r>
            <w:r>
              <w:rPr>
                <w:rFonts w:hint="default" w:ascii="Times New Roman" w:hAnsi="Times New Roman" w:eastAsia="宋体" w:cs="Times New Roman"/>
                <w:color w:val="auto"/>
                <w:sz w:val="24"/>
                <w:szCs w:val="24"/>
              </w:rPr>
              <w:t>kg/h；则无组织排放量为0.</w:t>
            </w:r>
            <w:r>
              <w:rPr>
                <w:rFonts w:hint="eastAsia" w:ascii="Times New Roman" w:hAnsi="Times New Roman" w:eastAsia="宋体" w:cs="Times New Roman"/>
                <w:color w:val="auto"/>
                <w:sz w:val="24"/>
                <w:szCs w:val="24"/>
                <w:lang w:val="en-US" w:eastAsia="zh-CN"/>
              </w:rPr>
              <w:t>324</w:t>
            </w:r>
            <w:r>
              <w:rPr>
                <w:rFonts w:hint="default" w:ascii="Times New Roman" w:hAnsi="Times New Roman" w:eastAsia="宋体" w:cs="Times New Roman"/>
                <w:color w:val="auto"/>
                <w:sz w:val="24"/>
                <w:szCs w:val="24"/>
              </w:rPr>
              <w:t>t/a。</w:t>
            </w:r>
          </w:p>
          <w:p w14:paraId="29B36401">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②臭气浓度</w:t>
            </w:r>
          </w:p>
          <w:p w14:paraId="1DC86110">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根据《</w:t>
            </w:r>
            <w:r>
              <w:rPr>
                <w:rFonts w:hint="default" w:ascii="Times New Roman" w:hAnsi="Times New Roman" w:eastAsia="宋体" w:cs="Times New Roman"/>
                <w:color w:val="auto"/>
                <w:sz w:val="24"/>
                <w:szCs w:val="24"/>
                <w:lang w:val="en-US" w:eastAsia="zh-CN"/>
              </w:rPr>
              <w:t>排污许可证申请与核发技术规范 橡胶和塑料制品工业</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HJ1122-2020</w:t>
            </w:r>
            <w:r>
              <w:rPr>
                <w:rFonts w:hint="default" w:ascii="Times New Roman" w:hAnsi="Times New Roman" w:eastAsia="宋体" w:cs="Times New Roman"/>
                <w:color w:val="auto"/>
                <w:sz w:val="24"/>
                <w:szCs w:val="24"/>
                <w:lang w:eastAsia="zh-CN"/>
              </w:rPr>
              <w:t>），本项目注塑过程中会产生臭气浓度，</w:t>
            </w:r>
            <w:r>
              <w:rPr>
                <w:rFonts w:hint="default" w:ascii="Times New Roman" w:hAnsi="Times New Roman" w:eastAsia="宋体" w:cs="Times New Roman"/>
                <w:color w:val="auto"/>
                <w:sz w:val="24"/>
                <w:szCs w:val="24"/>
                <w:lang w:val="en-US" w:eastAsia="zh-CN"/>
              </w:rPr>
              <w:t>但产生量较小且无相关源强产生参数，</w:t>
            </w:r>
            <w:r>
              <w:rPr>
                <w:rFonts w:hint="default" w:ascii="Times New Roman" w:hAnsi="Times New Roman" w:eastAsia="宋体" w:cs="Times New Roman"/>
                <w:color w:val="auto"/>
                <w:sz w:val="24"/>
                <w:szCs w:val="24"/>
                <w:lang w:eastAsia="zh-CN"/>
              </w:rPr>
              <w:t>因此本次评价仅定性分析，不做定量分析。</w:t>
            </w:r>
          </w:p>
          <w:p w14:paraId="2AEF7913">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eastAsia="zh-CN"/>
              </w:rPr>
              <w:t>）喷漆废气</w:t>
            </w:r>
          </w:p>
          <w:p w14:paraId="1F78FEE4">
            <w:pPr>
              <w:pStyle w:val="67"/>
              <w:ind w:firstLine="48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喷漆及晾干过程会产生有机废气，本项目喷漆、晾干均在喷漆房进行，用漆量为4.67t/a，漆料密度为1.296g/cm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经前文描述</w:t>
            </w:r>
            <w:r>
              <w:rPr>
                <w:rFonts w:hint="default" w:ascii="Times New Roman" w:hAnsi="Times New Roman" w:eastAsia="宋体" w:cs="Times New Roman"/>
                <w:color w:val="auto"/>
                <w:sz w:val="24"/>
                <w:szCs w:val="24"/>
                <w:lang w:val="en-US" w:eastAsia="zh-CN"/>
              </w:rPr>
              <w:t>，本项目水性漆中挥发性有机化合物含量9.188%，经核算本次评价以119.076g/L计，则本项目调漆、喷漆及晾干产生的VOC</w:t>
            </w:r>
            <w:r>
              <w:rPr>
                <w:rFonts w:hint="default" w:ascii="Times New Roman" w:hAnsi="Times New Roman" w:eastAsia="宋体" w:cs="Times New Roman"/>
                <w:color w:val="auto"/>
                <w:sz w:val="24"/>
                <w:szCs w:val="24"/>
                <w:vertAlign w:val="subscript"/>
                <w:lang w:val="en-US" w:eastAsia="zh-CN"/>
              </w:rPr>
              <w:t>S</w:t>
            </w:r>
            <w:r>
              <w:rPr>
                <w:rFonts w:hint="default" w:ascii="Times New Roman" w:hAnsi="Times New Roman" w:eastAsia="宋体" w:cs="Times New Roman"/>
                <w:color w:val="auto"/>
                <w:sz w:val="24"/>
                <w:szCs w:val="24"/>
                <w:lang w:val="en-US" w:eastAsia="zh-CN"/>
              </w:rPr>
              <w:t>为0.4</w:t>
            </w:r>
            <w:r>
              <w:rPr>
                <w:rFonts w:hint="eastAsia" w:ascii="Times New Roman" w:hAnsi="Times New Roman" w:eastAsia="宋体" w:cs="Times New Roman"/>
                <w:color w:val="auto"/>
                <w:sz w:val="24"/>
                <w:szCs w:val="24"/>
                <w:lang w:val="en-US" w:eastAsia="zh-CN"/>
              </w:rPr>
              <w:t>29</w:t>
            </w:r>
            <w:r>
              <w:rPr>
                <w:rFonts w:hint="default" w:ascii="Times New Roman" w:hAnsi="Times New Roman" w:eastAsia="宋体" w:cs="Times New Roman"/>
                <w:color w:val="auto"/>
                <w:sz w:val="24"/>
                <w:szCs w:val="24"/>
                <w:lang w:val="en-US" w:eastAsia="zh-CN"/>
              </w:rPr>
              <w:t>t/a。</w:t>
            </w:r>
          </w:p>
          <w:p w14:paraId="3A43551E">
            <w:pPr>
              <w:pStyle w:val="67"/>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根据漆料平衡可知，本项目固体分为4.18t/a，喷涂过程约70%的固体份附着在工件表面；30%以漆雾（颗粒物）形式损失，则喷漆产生的颗粒物为1.</w:t>
            </w:r>
            <w:r>
              <w:rPr>
                <w:rFonts w:hint="eastAsia" w:ascii="Times New Roman" w:hAnsi="Times New Roman" w:eastAsia="宋体" w:cs="Times New Roman"/>
                <w:color w:val="auto"/>
                <w:sz w:val="24"/>
                <w:szCs w:val="24"/>
                <w:lang w:val="en-US" w:eastAsia="zh-CN"/>
              </w:rPr>
              <w:t>254</w:t>
            </w:r>
            <w:r>
              <w:rPr>
                <w:rFonts w:hint="default" w:ascii="Times New Roman" w:hAnsi="Times New Roman" w:eastAsia="宋体" w:cs="Times New Roman"/>
                <w:color w:val="auto"/>
                <w:sz w:val="24"/>
                <w:szCs w:val="24"/>
                <w:lang w:val="en-US" w:eastAsia="zh-CN"/>
              </w:rPr>
              <w:t>t/a。</w:t>
            </w:r>
          </w:p>
          <w:p w14:paraId="2774F8F2">
            <w:pPr>
              <w:pStyle w:val="67"/>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本项目喷漆年工作时间为</w:t>
            </w:r>
            <w:r>
              <w:rPr>
                <w:rFonts w:hint="eastAsia" w:ascii="Times New Roman" w:hAnsi="Times New Roman" w:eastAsia="宋体" w:cs="Times New Roman"/>
                <w:color w:val="auto"/>
                <w:sz w:val="24"/>
                <w:szCs w:val="24"/>
                <w:lang w:val="en-US" w:eastAsia="zh-CN"/>
              </w:rPr>
              <w:t>24</w:t>
            </w:r>
            <w:r>
              <w:rPr>
                <w:rFonts w:hint="default" w:ascii="Times New Roman" w:hAnsi="Times New Roman" w:eastAsia="宋体" w:cs="Times New Roman"/>
                <w:color w:val="auto"/>
                <w:sz w:val="24"/>
                <w:szCs w:val="24"/>
                <w:lang w:val="en-US" w:eastAsia="zh-CN"/>
              </w:rPr>
              <w:t>00h，喷漆、晾干过程均在独立密闭的喷漆</w:t>
            </w:r>
            <w:r>
              <w:rPr>
                <w:rFonts w:hint="eastAsia" w:cs="Times New Roman"/>
                <w:color w:val="auto"/>
                <w:sz w:val="24"/>
                <w:szCs w:val="24"/>
                <w:lang w:val="en-US" w:eastAsia="zh-CN"/>
              </w:rPr>
              <w:t>晾干</w:t>
            </w:r>
            <w:r>
              <w:rPr>
                <w:rFonts w:hint="default" w:ascii="Times New Roman" w:hAnsi="Times New Roman" w:eastAsia="宋体" w:cs="Times New Roman"/>
                <w:color w:val="auto"/>
                <w:sz w:val="24"/>
                <w:szCs w:val="24"/>
                <w:lang w:val="en-US" w:eastAsia="zh-CN"/>
              </w:rPr>
              <w:t>房内，收集效率按95%计算，收集后的废气通过过滤棉+二级活性炭（TA00</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）处理，处理效率按90%计算，处理后的尾气通过新建15m高的排气筒（DA00</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）排放。</w:t>
            </w:r>
          </w:p>
          <w:p w14:paraId="31405FB1">
            <w:pPr>
              <w:pStyle w:val="67"/>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综上，本项目喷漆废气颗粒物有组织产生量为</w:t>
            </w:r>
            <w:r>
              <w:rPr>
                <w:rFonts w:hint="eastAsia" w:ascii="Times New Roman" w:hAnsi="Times New Roman" w:eastAsia="宋体" w:cs="Times New Roman"/>
                <w:color w:val="auto"/>
                <w:sz w:val="24"/>
                <w:szCs w:val="24"/>
                <w:lang w:val="en-US" w:eastAsia="zh-CN"/>
              </w:rPr>
              <w:t>1.19</w:t>
            </w:r>
            <w:r>
              <w:rPr>
                <w:rFonts w:hint="default" w:ascii="Times New Roman" w:hAnsi="Times New Roman" w:eastAsia="宋体" w:cs="Times New Roman"/>
                <w:color w:val="auto"/>
                <w:sz w:val="24"/>
                <w:szCs w:val="24"/>
                <w:lang w:val="en-US" w:eastAsia="zh-CN"/>
              </w:rPr>
              <w:t>t/a，产生速率为</w:t>
            </w:r>
            <w:r>
              <w:rPr>
                <w:rFonts w:hint="eastAsia" w:ascii="Times New Roman" w:hAnsi="Times New Roman" w:eastAsia="宋体" w:cs="Times New Roman"/>
                <w:color w:val="auto"/>
                <w:sz w:val="24"/>
                <w:szCs w:val="24"/>
                <w:lang w:val="en-US" w:eastAsia="zh-CN"/>
              </w:rPr>
              <w:t>0.496</w:t>
            </w:r>
            <w:r>
              <w:rPr>
                <w:rFonts w:hint="default" w:ascii="Times New Roman" w:hAnsi="Times New Roman" w:eastAsia="宋体" w:cs="Times New Roman"/>
                <w:color w:val="auto"/>
                <w:sz w:val="24"/>
                <w:szCs w:val="24"/>
                <w:lang w:val="en-US" w:eastAsia="zh-CN"/>
              </w:rPr>
              <w:t>kg/h；非甲烷总烃有组织产生量为0.</w:t>
            </w:r>
            <w:r>
              <w:rPr>
                <w:rFonts w:hint="eastAsia" w:ascii="Times New Roman" w:hAnsi="Times New Roman" w:eastAsia="宋体" w:cs="Times New Roman"/>
                <w:color w:val="auto"/>
                <w:sz w:val="24"/>
                <w:szCs w:val="24"/>
                <w:lang w:val="en-US" w:eastAsia="zh-CN"/>
              </w:rPr>
              <w:t>408</w:t>
            </w:r>
            <w:r>
              <w:rPr>
                <w:rFonts w:hint="default" w:ascii="Times New Roman" w:hAnsi="Times New Roman" w:eastAsia="宋体" w:cs="Times New Roman"/>
                <w:color w:val="auto"/>
                <w:sz w:val="24"/>
                <w:szCs w:val="24"/>
                <w:lang w:val="en-US" w:eastAsia="zh-CN"/>
              </w:rPr>
              <w:t>t/a，产生速率为0.</w:t>
            </w:r>
            <w:r>
              <w:rPr>
                <w:rFonts w:hint="eastAsia" w:ascii="Times New Roman" w:hAnsi="Times New Roman" w:eastAsia="宋体" w:cs="Times New Roman"/>
                <w:color w:val="auto"/>
                <w:sz w:val="24"/>
                <w:szCs w:val="24"/>
                <w:lang w:val="en-US" w:eastAsia="zh-CN"/>
              </w:rPr>
              <w:t>17</w:t>
            </w:r>
            <w:r>
              <w:rPr>
                <w:rFonts w:hint="default" w:ascii="Times New Roman" w:hAnsi="Times New Roman" w:eastAsia="宋体" w:cs="Times New Roman"/>
                <w:color w:val="auto"/>
                <w:sz w:val="24"/>
                <w:szCs w:val="24"/>
                <w:lang w:val="en-US" w:eastAsia="zh-CN"/>
              </w:rPr>
              <w:t>kg/h。</w:t>
            </w:r>
          </w:p>
          <w:p w14:paraId="5B2128A8">
            <w:pPr>
              <w:pStyle w:val="67"/>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则颗粒物有组织排放量为0.</w:t>
            </w:r>
            <w:r>
              <w:rPr>
                <w:rFonts w:hint="eastAsia" w:ascii="Times New Roman" w:hAnsi="Times New Roman" w:eastAsia="宋体" w:cs="Times New Roman"/>
                <w:color w:val="auto"/>
                <w:sz w:val="24"/>
                <w:szCs w:val="24"/>
                <w:lang w:val="en-US" w:eastAsia="zh-CN"/>
              </w:rPr>
              <w:t>119</w:t>
            </w:r>
            <w:r>
              <w:rPr>
                <w:rFonts w:hint="default" w:ascii="Times New Roman" w:hAnsi="Times New Roman" w:eastAsia="宋体" w:cs="Times New Roman"/>
                <w:color w:val="auto"/>
                <w:sz w:val="24"/>
                <w:szCs w:val="24"/>
                <w:lang w:val="en-US" w:eastAsia="zh-CN"/>
              </w:rPr>
              <w:t>t/a，排放速率为：0.0</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kg/h；非甲烷总烃有组织排放量为0.0</w:t>
            </w:r>
            <w:r>
              <w:rPr>
                <w:rFonts w:hint="eastAsia" w:ascii="Times New Roman" w:hAnsi="Times New Roman" w:eastAsia="宋体" w:cs="Times New Roman"/>
                <w:color w:val="auto"/>
                <w:sz w:val="24"/>
                <w:szCs w:val="24"/>
                <w:lang w:val="en-US" w:eastAsia="zh-CN"/>
              </w:rPr>
              <w:t>41</w:t>
            </w:r>
            <w:r>
              <w:rPr>
                <w:rFonts w:hint="default" w:ascii="Times New Roman" w:hAnsi="Times New Roman" w:eastAsia="宋体" w:cs="Times New Roman"/>
                <w:color w:val="auto"/>
                <w:sz w:val="24"/>
                <w:szCs w:val="24"/>
                <w:lang w:val="en-US" w:eastAsia="zh-CN"/>
              </w:rPr>
              <w:t>t/a，排放速率为：0.0</w:t>
            </w:r>
            <w:r>
              <w:rPr>
                <w:rFonts w:hint="eastAsia" w:ascii="Times New Roman" w:hAnsi="Times New Roman" w:eastAsia="宋体" w:cs="Times New Roman"/>
                <w:color w:val="auto"/>
                <w:sz w:val="24"/>
                <w:szCs w:val="24"/>
                <w:lang w:val="en-US" w:eastAsia="zh-CN"/>
              </w:rPr>
              <w:t>17</w:t>
            </w:r>
            <w:r>
              <w:rPr>
                <w:rFonts w:hint="default" w:ascii="Times New Roman" w:hAnsi="Times New Roman" w:eastAsia="宋体" w:cs="Times New Roman"/>
                <w:color w:val="auto"/>
                <w:sz w:val="24"/>
                <w:szCs w:val="24"/>
                <w:lang w:val="en-US" w:eastAsia="zh-CN"/>
              </w:rPr>
              <w:t>kg/h。</w:t>
            </w:r>
          </w:p>
          <w:p w14:paraId="28A4E2C9">
            <w:pPr>
              <w:pStyle w:val="67"/>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w:t>
            </w:r>
            <w:r>
              <w:rPr>
                <w:rFonts w:hint="eastAsia" w:ascii="Times New Roman" w:hAnsi="Times New Roman" w:eastAsia="宋体" w:cs="Times New Roman"/>
                <w:color w:val="auto"/>
                <w:sz w:val="24"/>
                <w:szCs w:val="24"/>
                <w:lang w:val="en-US" w:eastAsia="zh-CN"/>
              </w:rPr>
              <w:t>颗粒物无组织产生量为0.063t/a，其中50%作为漆渣，则颗粒物无组织排放量为0.0315t/a</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非甲烷总烃无组织产生量为0.022t/a</w:t>
            </w:r>
            <w:r>
              <w:rPr>
                <w:rFonts w:hint="default" w:ascii="Times New Roman" w:hAnsi="Times New Roman" w:eastAsia="宋体" w:cs="Times New Roman"/>
                <w:color w:val="auto"/>
                <w:sz w:val="24"/>
                <w:szCs w:val="24"/>
                <w:lang w:val="en-US" w:eastAsia="zh-CN"/>
              </w:rPr>
              <w:t>。</w:t>
            </w:r>
          </w:p>
          <w:p w14:paraId="29513A86">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rPr>
              <w:t>风量</w:t>
            </w:r>
          </w:p>
          <w:p w14:paraId="5DF2A98F">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rPr>
              <w:t>根据《大气污染控制工程》中的控制风速计算。计算公式如下：</w:t>
            </w:r>
          </w:p>
          <w:p w14:paraId="58B52BB9">
            <w:pPr>
              <w:pStyle w:val="67"/>
              <w:ind w:firstLine="480"/>
              <w:jc w:val="center"/>
              <w:rPr>
                <w:rFonts w:hint="default" w:ascii="Times New Roman" w:hAnsi="Times New Roman" w:cs="Times New Roman"/>
                <w:sz w:val="24"/>
                <w:szCs w:val="24"/>
              </w:rPr>
            </w:pPr>
            <w:r>
              <w:rPr>
                <w:rFonts w:hint="default" w:ascii="Times New Roman" w:hAnsi="Times New Roman" w:cs="Times New Roman"/>
                <w:sz w:val="24"/>
                <w:szCs w:val="24"/>
              </w:rPr>
              <w:t>Q=A</w:t>
            </w:r>
            <w:r>
              <w:rPr>
                <w:rFonts w:hint="default" w:ascii="Times New Roman" w:hAnsi="Times New Roman" w:cs="Times New Roman"/>
                <w:sz w:val="24"/>
                <w:szCs w:val="24"/>
                <w:vertAlign w:val="subscript"/>
              </w:rPr>
              <w:t>0</w:t>
            </w:r>
            <w:r>
              <w:rPr>
                <w:rFonts w:hint="default" w:ascii="Times New Roman" w:hAnsi="Times New Roman" w:cs="Times New Roman"/>
                <w:sz w:val="24"/>
                <w:szCs w:val="24"/>
              </w:rPr>
              <w:t>*V</w:t>
            </w:r>
            <w:r>
              <w:rPr>
                <w:rFonts w:hint="default" w:ascii="Times New Roman" w:hAnsi="Times New Roman" w:cs="Times New Roman"/>
                <w:sz w:val="24"/>
                <w:szCs w:val="24"/>
                <w:vertAlign w:val="subscript"/>
              </w:rPr>
              <w:t>0</w:t>
            </w:r>
            <w:r>
              <w:rPr>
                <w:rFonts w:hint="default" w:ascii="Times New Roman" w:hAnsi="Times New Roman" w:cs="Times New Roman"/>
                <w:sz w:val="24"/>
                <w:szCs w:val="24"/>
              </w:rPr>
              <w:t>*3600</w:t>
            </w:r>
          </w:p>
          <w:p w14:paraId="0219685B">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rPr>
              <w:t>Q：排风量；</w:t>
            </w:r>
          </w:p>
          <w:p w14:paraId="7F7A9927">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rPr>
              <w:t>A0：罩口面积，m</w:t>
            </w:r>
            <w:r>
              <w:rPr>
                <w:rFonts w:hint="default" w:ascii="Times New Roman" w:hAnsi="Times New Roman" w:cs="Times New Roman"/>
                <w:sz w:val="24"/>
                <w:szCs w:val="24"/>
                <w:vertAlign w:val="superscript"/>
              </w:rPr>
              <w:t>2</w:t>
            </w:r>
            <w:r>
              <w:rPr>
                <w:rFonts w:hint="default" w:ascii="Times New Roman" w:hAnsi="Times New Roman" w:cs="Times New Roman"/>
                <w:sz w:val="24"/>
                <w:szCs w:val="24"/>
              </w:rPr>
              <w:t>；</w:t>
            </w:r>
          </w:p>
          <w:p w14:paraId="22FBA605">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rPr>
              <w:t>V0：罩口风速，m/s，（本项目取0.8 m/s）；</w:t>
            </w:r>
          </w:p>
          <w:p w14:paraId="4643A6D9">
            <w:pPr>
              <w:pStyle w:val="67"/>
              <w:ind w:firstLine="480"/>
              <w:rPr>
                <w:rFonts w:hint="default" w:ascii="Times New Roman" w:hAnsi="Times New Roman" w:cs="Times New Roman"/>
                <w:sz w:val="24"/>
                <w:szCs w:val="24"/>
              </w:rPr>
            </w:pPr>
            <w:r>
              <w:rPr>
                <w:rFonts w:hint="default" w:ascii="Times New Roman" w:hAnsi="Times New Roman" w:cs="Times New Roman"/>
                <w:sz w:val="24"/>
                <w:szCs w:val="24"/>
                <w:lang w:eastAsia="zh-CN"/>
              </w:rPr>
              <w:t>注塑</w:t>
            </w:r>
            <w:r>
              <w:rPr>
                <w:rFonts w:hint="default" w:ascii="Times New Roman" w:hAnsi="Times New Roman" w:cs="Times New Roman"/>
                <w:sz w:val="24"/>
                <w:szCs w:val="24"/>
              </w:rPr>
              <w:t>机顶部设置集气罩平均尺寸为0.4m×1.0m，本项目共</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套</w:t>
            </w:r>
            <w:r>
              <w:rPr>
                <w:rFonts w:hint="default" w:ascii="Times New Roman" w:hAnsi="Times New Roman" w:cs="Times New Roman"/>
                <w:sz w:val="24"/>
                <w:szCs w:val="24"/>
                <w:lang w:eastAsia="zh-CN"/>
              </w:rPr>
              <w:t>注塑</w:t>
            </w:r>
            <w:r>
              <w:rPr>
                <w:rFonts w:hint="default" w:ascii="Times New Roman" w:hAnsi="Times New Roman" w:cs="Times New Roman"/>
                <w:sz w:val="24"/>
                <w:szCs w:val="24"/>
              </w:rPr>
              <w:t>机</w:t>
            </w:r>
            <w:r>
              <w:rPr>
                <w:rFonts w:hint="default" w:ascii="Times New Roman" w:hAnsi="Times New Roman" w:cs="Times New Roman"/>
                <w:sz w:val="24"/>
                <w:szCs w:val="24"/>
                <w:lang w:eastAsia="zh-CN"/>
              </w:rPr>
              <w:t>，</w:t>
            </w:r>
            <w:r>
              <w:rPr>
                <w:rFonts w:hint="default" w:ascii="Times New Roman" w:hAnsi="Times New Roman" w:cs="Times New Roman"/>
                <w:sz w:val="24"/>
                <w:szCs w:val="24"/>
              </w:rPr>
              <w:t>本项目</w:t>
            </w:r>
            <w:r>
              <w:rPr>
                <w:rFonts w:hint="default" w:ascii="Times New Roman" w:hAnsi="Times New Roman" w:cs="Times New Roman"/>
                <w:sz w:val="24"/>
                <w:szCs w:val="24"/>
                <w:lang w:eastAsia="zh-CN"/>
              </w:rPr>
              <w:t>注塑</w:t>
            </w:r>
            <w:r>
              <w:rPr>
                <w:rFonts w:hint="default" w:ascii="Times New Roman" w:hAnsi="Times New Roman" w:cs="Times New Roman"/>
                <w:sz w:val="24"/>
                <w:szCs w:val="24"/>
              </w:rPr>
              <w:t>工序的风量为</w:t>
            </w:r>
            <w:r>
              <w:rPr>
                <w:rFonts w:hint="eastAsia" w:cs="Times New Roman"/>
                <w:sz w:val="24"/>
                <w:szCs w:val="24"/>
                <w:lang w:val="en-US" w:eastAsia="zh-CN"/>
              </w:rPr>
              <w:t>576</w:t>
            </w:r>
            <w:r>
              <w:rPr>
                <w:rFonts w:hint="default" w:ascii="Times New Roman" w:hAnsi="Times New Roman" w:cs="Times New Roman"/>
                <w:sz w:val="24"/>
                <w:szCs w:val="24"/>
              </w:rPr>
              <w:t>0m</w:t>
            </w:r>
            <w:r>
              <w:rPr>
                <w:rFonts w:hint="default" w:ascii="Times New Roman" w:hAnsi="Times New Roman" w:cs="Times New Roman"/>
                <w:sz w:val="24"/>
                <w:szCs w:val="24"/>
                <w:vertAlign w:val="superscript"/>
              </w:rPr>
              <w:t>3</w:t>
            </w:r>
            <w:r>
              <w:rPr>
                <w:rFonts w:hint="default" w:ascii="Times New Roman" w:hAnsi="Times New Roman" w:cs="Times New Roman"/>
                <w:sz w:val="24"/>
                <w:szCs w:val="24"/>
              </w:rPr>
              <w:t>/h。</w:t>
            </w:r>
          </w:p>
          <w:p w14:paraId="7DEA6089">
            <w:pPr>
              <w:pStyle w:val="67"/>
              <w:ind w:firstLine="480"/>
              <w:rPr>
                <w:rFonts w:hint="default" w:ascii="Times New Roman" w:hAnsi="Times New Roman" w:eastAsia="宋体" w:cs="Times New Roman"/>
                <w:b w:val="0"/>
                <w:bCs/>
                <w:color w:val="auto"/>
                <w:kern w:val="2"/>
                <w:sz w:val="24"/>
                <w:szCs w:val="24"/>
                <w:lang w:val="en-US" w:eastAsia="zh-CN" w:bidi="ar"/>
              </w:rPr>
            </w:pPr>
            <w:r>
              <w:rPr>
                <w:rFonts w:hint="default" w:ascii="Times New Roman" w:hAnsi="Times New Roman" w:eastAsia="宋体" w:cs="Times New Roman"/>
                <w:color w:val="auto"/>
                <w:kern w:val="0"/>
                <w:sz w:val="24"/>
                <w:szCs w:val="24"/>
                <w:lang w:val="en-US" w:eastAsia="zh-CN" w:bidi="ar"/>
              </w:rPr>
              <w:t>本项目喷漆</w:t>
            </w:r>
            <w:r>
              <w:rPr>
                <w:rFonts w:hint="eastAsia" w:cs="Times New Roman"/>
                <w:color w:val="auto"/>
                <w:kern w:val="0"/>
                <w:sz w:val="24"/>
                <w:szCs w:val="24"/>
                <w:lang w:val="en-US" w:eastAsia="zh-CN" w:bidi="ar"/>
              </w:rPr>
              <w:t>晾干</w:t>
            </w:r>
            <w:r>
              <w:rPr>
                <w:rFonts w:hint="default" w:ascii="Times New Roman" w:hAnsi="Times New Roman" w:eastAsia="宋体" w:cs="Times New Roman"/>
                <w:color w:val="auto"/>
                <w:kern w:val="0"/>
                <w:sz w:val="24"/>
                <w:szCs w:val="24"/>
                <w:lang w:val="en-US" w:eastAsia="zh-CN" w:bidi="ar"/>
              </w:rPr>
              <w:t>房的总容积约为</w:t>
            </w:r>
            <w:r>
              <w:rPr>
                <w:rFonts w:hint="eastAsia" w:cs="Times New Roman"/>
                <w:color w:val="auto"/>
                <w:kern w:val="0"/>
                <w:sz w:val="24"/>
                <w:szCs w:val="24"/>
                <w:lang w:val="en-US" w:eastAsia="zh-CN" w:bidi="ar"/>
              </w:rPr>
              <w:t>240</w:t>
            </w:r>
            <w:r>
              <w:rPr>
                <w:rFonts w:hint="default" w:ascii="Times New Roman" w:hAnsi="Times New Roman" w:eastAsia="宋体" w:cs="Times New Roman"/>
                <w:color w:val="auto"/>
                <w:kern w:val="0"/>
                <w:sz w:val="24"/>
                <w:szCs w:val="24"/>
                <w:lang w:val="en-US" w:eastAsia="zh-CN" w:bidi="ar"/>
              </w:rPr>
              <w:t>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，换气次数按照每小时</w:t>
            </w:r>
            <w:r>
              <w:rPr>
                <w:rFonts w:hint="eastAsia" w:cs="Times New Roman"/>
                <w:color w:val="auto"/>
                <w:kern w:val="0"/>
                <w:sz w:val="24"/>
                <w:szCs w:val="24"/>
                <w:lang w:val="en-US" w:eastAsia="zh-CN" w:bidi="ar"/>
              </w:rPr>
              <w:t>10</w:t>
            </w:r>
            <w:r>
              <w:rPr>
                <w:rFonts w:hint="default" w:ascii="Times New Roman" w:hAnsi="Times New Roman" w:eastAsia="宋体" w:cs="Times New Roman"/>
                <w:color w:val="auto"/>
                <w:kern w:val="0"/>
                <w:sz w:val="24"/>
                <w:szCs w:val="24"/>
                <w:lang w:val="en-US" w:eastAsia="zh-CN" w:bidi="ar"/>
              </w:rPr>
              <w:t>次计，则风量为</w:t>
            </w:r>
            <w:r>
              <w:rPr>
                <w:rFonts w:hint="eastAsia" w:cs="Times New Roman"/>
                <w:color w:val="auto"/>
                <w:kern w:val="0"/>
                <w:sz w:val="24"/>
                <w:szCs w:val="24"/>
                <w:lang w:val="en-US" w:eastAsia="zh-CN" w:bidi="ar"/>
              </w:rPr>
              <w:t>240</w:t>
            </w:r>
            <w:r>
              <w:rPr>
                <w:rFonts w:hint="default" w:ascii="Times New Roman" w:hAnsi="Times New Roman" w:eastAsia="宋体" w:cs="Times New Roman"/>
                <w:color w:val="auto"/>
                <w:kern w:val="0"/>
                <w:sz w:val="24"/>
                <w:szCs w:val="24"/>
                <w:lang w:val="en-US" w:eastAsia="zh-CN" w:bidi="ar"/>
              </w:rPr>
              <w:t>*</w:t>
            </w:r>
            <w:r>
              <w:rPr>
                <w:rFonts w:hint="eastAsia" w:cs="Times New Roman"/>
                <w:color w:val="auto"/>
                <w:kern w:val="0"/>
                <w:sz w:val="24"/>
                <w:szCs w:val="24"/>
                <w:lang w:val="en-US" w:eastAsia="zh-CN" w:bidi="ar"/>
              </w:rPr>
              <w:t>1</w:t>
            </w:r>
            <w:r>
              <w:rPr>
                <w:rFonts w:hint="default" w:ascii="Times New Roman" w:hAnsi="Times New Roman" w:eastAsia="宋体" w:cs="Times New Roman"/>
                <w:color w:val="auto"/>
                <w:kern w:val="0"/>
                <w:sz w:val="24"/>
                <w:szCs w:val="24"/>
                <w:lang w:val="en-US" w:eastAsia="zh-CN" w:bidi="ar"/>
              </w:rPr>
              <w:t>0=</w:t>
            </w:r>
            <w:r>
              <w:rPr>
                <w:rFonts w:hint="eastAsia" w:cs="Times New Roman"/>
                <w:color w:val="auto"/>
                <w:kern w:val="0"/>
                <w:sz w:val="24"/>
                <w:szCs w:val="24"/>
                <w:lang w:val="en-US" w:eastAsia="zh-CN" w:bidi="ar"/>
              </w:rPr>
              <w:t>24</w:t>
            </w:r>
            <w:r>
              <w:rPr>
                <w:rFonts w:hint="eastAsia" w:ascii="Times New Roman" w:hAnsi="Times New Roman" w:cs="Times New Roman"/>
                <w:color w:val="auto"/>
                <w:kern w:val="0"/>
                <w:sz w:val="24"/>
                <w:szCs w:val="24"/>
                <w:lang w:val="en-US" w:eastAsia="zh-CN" w:bidi="ar"/>
              </w:rPr>
              <w:t>0</w:t>
            </w:r>
            <w:r>
              <w:rPr>
                <w:rFonts w:hint="default" w:ascii="Times New Roman" w:hAnsi="Times New Roman" w:eastAsia="宋体" w:cs="Times New Roman"/>
                <w:color w:val="auto"/>
                <w:kern w:val="0"/>
                <w:sz w:val="24"/>
                <w:szCs w:val="24"/>
                <w:lang w:val="en-US" w:eastAsia="zh-CN" w:bidi="ar"/>
              </w:rPr>
              <w:t>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/h，本次</w:t>
            </w:r>
            <w:r>
              <w:rPr>
                <w:rFonts w:hint="eastAsia" w:cs="Times New Roman"/>
                <w:color w:val="auto"/>
                <w:kern w:val="0"/>
                <w:sz w:val="24"/>
                <w:szCs w:val="24"/>
                <w:lang w:val="en-US" w:eastAsia="zh-CN" w:bidi="ar"/>
              </w:rPr>
              <w:t>喷漆房</w:t>
            </w:r>
            <w:r>
              <w:rPr>
                <w:rFonts w:hint="default" w:ascii="Times New Roman" w:hAnsi="Times New Roman" w:eastAsia="宋体" w:cs="Times New Roman"/>
                <w:color w:val="auto"/>
                <w:kern w:val="0"/>
                <w:sz w:val="24"/>
                <w:szCs w:val="24"/>
                <w:lang w:val="en-US" w:eastAsia="zh-CN" w:bidi="ar"/>
              </w:rPr>
              <w:t>风机风量设计为</w:t>
            </w:r>
            <w:r>
              <w:rPr>
                <w:rFonts w:hint="eastAsia" w:cs="Times New Roman"/>
                <w:color w:val="auto"/>
                <w:kern w:val="0"/>
                <w:sz w:val="24"/>
                <w:szCs w:val="24"/>
                <w:lang w:val="en-US" w:eastAsia="zh-CN" w:bidi="ar"/>
              </w:rPr>
              <w:t>64</w:t>
            </w:r>
            <w:r>
              <w:rPr>
                <w:rFonts w:hint="default" w:ascii="Times New Roman" w:hAnsi="Times New Roman" w:eastAsia="宋体" w:cs="Times New Roman"/>
                <w:color w:val="auto"/>
                <w:kern w:val="0"/>
                <w:sz w:val="24"/>
                <w:szCs w:val="24"/>
                <w:lang w:val="en-US" w:eastAsia="zh-CN" w:bidi="ar"/>
              </w:rPr>
              <w:t>00m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/h</w:t>
            </w:r>
            <w:r>
              <w:rPr>
                <w:rFonts w:hint="default" w:ascii="Times New Roman" w:hAnsi="Times New Roman" w:eastAsia="宋体" w:cs="Times New Roman"/>
                <w:b w:val="0"/>
                <w:bCs/>
                <w:color w:val="auto"/>
                <w:kern w:val="2"/>
                <w:sz w:val="24"/>
                <w:szCs w:val="24"/>
                <w:lang w:val="en-US" w:eastAsia="zh-CN" w:bidi="ar"/>
              </w:rPr>
              <w:t>。</w:t>
            </w:r>
          </w:p>
          <w:p w14:paraId="0FDF2B12">
            <w:pPr>
              <w:pStyle w:val="67"/>
              <w:ind w:firstLine="480"/>
              <w:rPr>
                <w:rFonts w:hint="eastAsia" w:cs="Times New Roman"/>
                <w:color w:val="auto"/>
                <w:kern w:val="0"/>
                <w:sz w:val="24"/>
                <w:szCs w:val="24"/>
                <w:lang w:val="en-US" w:eastAsia="zh-CN" w:bidi="ar"/>
              </w:rPr>
            </w:pPr>
            <w:r>
              <w:rPr>
                <w:rFonts w:hint="eastAsia" w:cs="Times New Roman"/>
                <w:b w:val="0"/>
                <w:bCs/>
                <w:color w:val="auto"/>
                <w:kern w:val="2"/>
                <w:sz w:val="24"/>
                <w:szCs w:val="24"/>
                <w:lang w:val="en-US" w:eastAsia="zh-CN" w:bidi="ar"/>
              </w:rPr>
              <w:t>综上，本项目设计风量为8160</w:t>
            </w:r>
            <w:r>
              <w:rPr>
                <w:rFonts w:hint="default" w:ascii="Times New Roman" w:hAnsi="Times New Roman" w:eastAsia="宋体" w:cs="Times New Roman"/>
                <w:color w:val="auto"/>
                <w:kern w:val="0"/>
                <w:sz w:val="24"/>
                <w:szCs w:val="24"/>
                <w:lang w:val="en-US" w:eastAsia="zh-CN" w:bidi="ar"/>
              </w:rPr>
              <w:t>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/h</w:t>
            </w:r>
            <w:r>
              <w:rPr>
                <w:rFonts w:hint="eastAsia" w:cs="Times New Roman"/>
                <w:color w:val="auto"/>
                <w:kern w:val="0"/>
                <w:sz w:val="24"/>
                <w:szCs w:val="24"/>
                <w:lang w:val="en-US" w:eastAsia="zh-CN" w:bidi="ar"/>
              </w:rPr>
              <w:t>，</w:t>
            </w:r>
            <w:r>
              <w:rPr>
                <w:rFonts w:hint="default" w:ascii="Times New Roman" w:hAnsi="Times New Roman" w:cs="Times New Roman"/>
                <w:sz w:val="24"/>
                <w:szCs w:val="24"/>
              </w:rPr>
              <w:t>考虑系统15%风损，</w:t>
            </w:r>
            <w:r>
              <w:rPr>
                <w:rFonts w:hint="eastAsia" w:cs="Times New Roman"/>
                <w:sz w:val="24"/>
                <w:szCs w:val="24"/>
                <w:lang w:eastAsia="zh-CN"/>
              </w:rPr>
              <w:t>总风量为</w:t>
            </w:r>
            <w:r>
              <w:rPr>
                <w:rFonts w:hint="eastAsia" w:cs="Times New Roman"/>
                <w:sz w:val="24"/>
                <w:szCs w:val="24"/>
                <w:lang w:val="en-US" w:eastAsia="zh-CN"/>
              </w:rPr>
              <w:t>10000</w:t>
            </w:r>
            <w:r>
              <w:rPr>
                <w:rFonts w:hint="default" w:ascii="Times New Roman" w:hAnsi="Times New Roman" w:eastAsia="宋体" w:cs="Times New Roman"/>
                <w:color w:val="auto"/>
                <w:kern w:val="0"/>
                <w:sz w:val="24"/>
                <w:szCs w:val="24"/>
                <w:lang w:val="en-US" w:eastAsia="zh-CN" w:bidi="ar"/>
              </w:rPr>
              <w:t>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/h</w:t>
            </w:r>
            <w:r>
              <w:rPr>
                <w:rFonts w:hint="eastAsia" w:cs="Times New Roman"/>
                <w:color w:val="auto"/>
                <w:kern w:val="0"/>
                <w:sz w:val="24"/>
                <w:szCs w:val="24"/>
                <w:lang w:val="en-US" w:eastAsia="zh-CN" w:bidi="ar"/>
              </w:rPr>
              <w:t>。</w:t>
            </w:r>
          </w:p>
          <w:p w14:paraId="1FD046AD">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（3）破碎废气</w:t>
            </w:r>
          </w:p>
          <w:p w14:paraId="39F7A4A0">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本项目不合格品破碎过程中会产生破碎粉尘，参照《排放源统计调查产排核算方法和系数手册》的公告（公告2021年第24号）中“4220 非金属废料和碎屑加工处理行业系数表”，本项目聚丙烯材料的不合格品参照废PE/PP干法破碎的产污系数375g/t-原料。聚丙烯材料的不合格品年产生量按5%计算，约为60t/a，则破碎粉尘产生量约为0.0225t/a。</w:t>
            </w:r>
          </w:p>
          <w:p w14:paraId="050585AB">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本次项目破碎粉尘通过袋式除尘器处理后通过15m高排气筒（DA002）排放，收集效率以90%计、处理效率以99%计，破碎工序每天工作2h，年工作时间为600h。</w:t>
            </w:r>
          </w:p>
          <w:p w14:paraId="3B26AB02">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根据《大气污染控制工程》中的控制风速计算。计算公式如下：</w:t>
            </w:r>
          </w:p>
          <w:p w14:paraId="24DA301E">
            <w:pPr>
              <w:pStyle w:val="67"/>
              <w:ind w:firstLine="480"/>
              <w:jc w:val="center"/>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Q=A0*V0*3600</w:t>
            </w:r>
          </w:p>
          <w:p w14:paraId="2CA0438F">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Q：排风量；</w:t>
            </w:r>
          </w:p>
          <w:p w14:paraId="5A7AAC20">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A0：罩口面积，m</w:t>
            </w:r>
            <w:r>
              <w:rPr>
                <w:rFonts w:hint="eastAsia" w:cs="Times New Roman"/>
                <w:color w:val="auto"/>
                <w:kern w:val="0"/>
                <w:sz w:val="24"/>
                <w:szCs w:val="24"/>
                <w:vertAlign w:val="superscript"/>
                <w:lang w:val="en-US" w:eastAsia="zh-CN" w:bidi="ar"/>
              </w:rPr>
              <w:t>2</w:t>
            </w:r>
            <w:r>
              <w:rPr>
                <w:rFonts w:hint="eastAsia" w:cs="Times New Roman"/>
                <w:color w:val="auto"/>
                <w:kern w:val="0"/>
                <w:sz w:val="24"/>
                <w:szCs w:val="24"/>
                <w:lang w:val="en-US" w:eastAsia="zh-CN" w:bidi="ar"/>
              </w:rPr>
              <w:t>；</w:t>
            </w:r>
          </w:p>
          <w:p w14:paraId="59F81C73">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V0：罩口风速，m/s，（本项目取0.8 m/s）；</w:t>
            </w:r>
          </w:p>
          <w:p w14:paraId="4751B6D5">
            <w:pPr>
              <w:pStyle w:val="67"/>
              <w:ind w:firstLine="480"/>
              <w:rPr>
                <w:rFonts w:hint="eastAsia" w:cs="Times New Roman"/>
                <w:color w:val="auto"/>
                <w:kern w:val="0"/>
                <w:sz w:val="24"/>
                <w:szCs w:val="24"/>
                <w:lang w:val="en-US" w:eastAsia="zh-CN" w:bidi="ar"/>
              </w:rPr>
            </w:pPr>
            <w:r>
              <w:rPr>
                <w:rFonts w:hint="eastAsia" w:cs="Times New Roman"/>
                <w:color w:val="auto"/>
                <w:kern w:val="0"/>
                <w:sz w:val="24"/>
                <w:szCs w:val="24"/>
                <w:lang w:val="en-US" w:eastAsia="zh-CN" w:bidi="ar"/>
              </w:rPr>
              <w:t>粉碎机（1台）集气罩尺寸为0.8m×1m，则风量为2304m</w:t>
            </w:r>
            <w:r>
              <w:rPr>
                <w:rFonts w:hint="eastAsia" w:cs="Times New Roman"/>
                <w:color w:val="auto"/>
                <w:kern w:val="0"/>
                <w:sz w:val="24"/>
                <w:szCs w:val="24"/>
                <w:vertAlign w:val="superscript"/>
                <w:lang w:val="en-US" w:eastAsia="zh-CN" w:bidi="ar"/>
              </w:rPr>
              <w:t>3</w:t>
            </w:r>
            <w:r>
              <w:rPr>
                <w:rFonts w:hint="eastAsia" w:cs="Times New Roman"/>
                <w:color w:val="auto"/>
                <w:kern w:val="0"/>
                <w:sz w:val="24"/>
                <w:szCs w:val="24"/>
                <w:lang w:val="en-US" w:eastAsia="zh-CN" w:bidi="ar"/>
              </w:rPr>
              <w:t>/h。考虑系统风损，本项目破碎的总风量为3000m</w:t>
            </w:r>
            <w:r>
              <w:rPr>
                <w:rFonts w:hint="eastAsia" w:cs="Times New Roman"/>
                <w:color w:val="auto"/>
                <w:kern w:val="0"/>
                <w:sz w:val="24"/>
                <w:szCs w:val="24"/>
                <w:vertAlign w:val="superscript"/>
                <w:lang w:val="en-US" w:eastAsia="zh-CN" w:bidi="ar"/>
              </w:rPr>
              <w:t>3</w:t>
            </w:r>
            <w:r>
              <w:rPr>
                <w:rFonts w:hint="eastAsia" w:cs="Times New Roman"/>
                <w:color w:val="auto"/>
                <w:kern w:val="0"/>
                <w:sz w:val="24"/>
                <w:szCs w:val="24"/>
                <w:lang w:val="en-US" w:eastAsia="zh-CN" w:bidi="ar"/>
              </w:rPr>
              <w:t>/h。</w:t>
            </w:r>
          </w:p>
          <w:p w14:paraId="69FE89EF">
            <w:pPr>
              <w:pStyle w:val="67"/>
              <w:ind w:firstLine="480"/>
              <w:rPr>
                <w:rFonts w:hint="default" w:cs="Times New Roman"/>
                <w:color w:val="auto"/>
                <w:kern w:val="0"/>
                <w:sz w:val="24"/>
                <w:szCs w:val="24"/>
                <w:lang w:val="en-US" w:eastAsia="zh-CN" w:bidi="ar"/>
              </w:rPr>
            </w:pPr>
            <w:r>
              <w:rPr>
                <w:rFonts w:hint="eastAsia" w:cs="Times New Roman"/>
                <w:color w:val="auto"/>
                <w:kern w:val="0"/>
                <w:sz w:val="24"/>
                <w:szCs w:val="24"/>
                <w:lang w:val="en-US" w:eastAsia="zh-CN" w:bidi="ar"/>
              </w:rPr>
              <w:t>则本项目破碎工序颗粒物有组织产生量为0.02t/a，产生速率为0.033kg/h，产生浓度为11mg/m</w:t>
            </w:r>
            <w:r>
              <w:rPr>
                <w:rFonts w:hint="eastAsia" w:cs="Times New Roman"/>
                <w:color w:val="auto"/>
                <w:kern w:val="0"/>
                <w:sz w:val="24"/>
                <w:szCs w:val="24"/>
                <w:vertAlign w:val="superscript"/>
                <w:lang w:val="en-US" w:eastAsia="zh-CN" w:bidi="ar"/>
              </w:rPr>
              <w:t>3</w:t>
            </w:r>
            <w:r>
              <w:rPr>
                <w:rFonts w:hint="eastAsia" w:cs="Times New Roman"/>
                <w:color w:val="auto"/>
                <w:kern w:val="0"/>
                <w:sz w:val="24"/>
                <w:szCs w:val="24"/>
                <w:lang w:val="en-US" w:eastAsia="zh-CN" w:bidi="ar"/>
              </w:rPr>
              <w:t>；有组织排放量为0.0002t/a，排放速率为0.00033，排放浓度为0.11mg/m</w:t>
            </w:r>
            <w:r>
              <w:rPr>
                <w:rFonts w:hint="eastAsia" w:cs="Times New Roman"/>
                <w:color w:val="auto"/>
                <w:kern w:val="0"/>
                <w:sz w:val="24"/>
                <w:szCs w:val="24"/>
                <w:vertAlign w:val="superscript"/>
                <w:lang w:val="en-US" w:eastAsia="zh-CN" w:bidi="ar"/>
              </w:rPr>
              <w:t>3</w:t>
            </w:r>
            <w:r>
              <w:rPr>
                <w:rFonts w:hint="eastAsia" w:cs="Times New Roman"/>
                <w:color w:val="auto"/>
                <w:kern w:val="0"/>
                <w:sz w:val="24"/>
                <w:szCs w:val="24"/>
                <w:lang w:val="en-US" w:eastAsia="zh-CN" w:bidi="ar"/>
              </w:rPr>
              <w:t>。破碎废气颗粒物无组织排放量为0.0025t/a。</w:t>
            </w:r>
          </w:p>
          <w:p w14:paraId="085C8562">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w:t>
            </w:r>
            <w:r>
              <w:rPr>
                <w:rFonts w:hint="default" w:ascii="Times New Roman" w:hAnsi="Times New Roman" w:cs="Times New Roman"/>
                <w:b/>
                <w:color w:val="auto"/>
                <w:sz w:val="21"/>
                <w:szCs w:val="21"/>
                <w:lang w:val="en-US" w:eastAsia="zh-CN"/>
              </w:rPr>
              <w:t>1</w:t>
            </w:r>
            <w:r>
              <w:rPr>
                <w:rFonts w:hint="default" w:ascii="Times New Roman" w:hAnsi="Times New Roman" w:eastAsia="宋体" w:cs="Times New Roman"/>
                <w:b/>
                <w:color w:val="auto"/>
                <w:sz w:val="21"/>
                <w:szCs w:val="21"/>
                <w:lang w:val="en-US" w:eastAsia="zh-CN"/>
              </w:rPr>
              <w:t xml:space="preserve">  本项目有组织废气产生排放一览表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
              <w:gridCol w:w="711"/>
              <w:gridCol w:w="662"/>
              <w:gridCol w:w="663"/>
              <w:gridCol w:w="800"/>
              <w:gridCol w:w="400"/>
              <w:gridCol w:w="637"/>
              <w:gridCol w:w="638"/>
              <w:gridCol w:w="850"/>
              <w:gridCol w:w="425"/>
              <w:gridCol w:w="475"/>
              <w:gridCol w:w="1153"/>
            </w:tblGrid>
            <w:tr w14:paraId="7FEA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7" w:type="pct"/>
                  <w:vMerge w:val="restart"/>
                  <w:noWrap w:val="0"/>
                  <w:vAlign w:val="center"/>
                </w:tcPr>
                <w:p w14:paraId="0FA462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产排污环节</w:t>
                  </w:r>
                </w:p>
              </w:tc>
              <w:tc>
                <w:tcPr>
                  <w:tcW w:w="455" w:type="pct"/>
                  <w:vMerge w:val="restart"/>
                  <w:noWrap w:val="0"/>
                  <w:vAlign w:val="center"/>
                </w:tcPr>
                <w:p w14:paraId="6EA020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污染物</w:t>
                  </w:r>
                </w:p>
              </w:tc>
              <w:tc>
                <w:tcPr>
                  <w:tcW w:w="1362" w:type="pct"/>
                  <w:gridSpan w:val="3"/>
                  <w:noWrap w:val="0"/>
                  <w:vAlign w:val="center"/>
                </w:tcPr>
                <w:p w14:paraId="32E5716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产生情况</w:t>
                  </w:r>
                </w:p>
              </w:tc>
              <w:tc>
                <w:tcPr>
                  <w:tcW w:w="256" w:type="pct"/>
                  <w:vMerge w:val="restart"/>
                  <w:noWrap w:val="0"/>
                  <w:vAlign w:val="center"/>
                </w:tcPr>
                <w:p w14:paraId="2F3ECB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治理措施</w:t>
                  </w:r>
                </w:p>
              </w:tc>
              <w:tc>
                <w:tcPr>
                  <w:tcW w:w="1362" w:type="pct"/>
                  <w:gridSpan w:val="3"/>
                  <w:noWrap w:val="0"/>
                  <w:vAlign w:val="center"/>
                </w:tcPr>
                <w:p w14:paraId="5D5838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排放情况</w:t>
                  </w:r>
                </w:p>
              </w:tc>
              <w:tc>
                <w:tcPr>
                  <w:tcW w:w="272" w:type="pct"/>
                  <w:vMerge w:val="restart"/>
                  <w:noWrap w:val="0"/>
                  <w:vAlign w:val="center"/>
                </w:tcPr>
                <w:p w14:paraId="3832A5F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排放时间h</w:t>
                  </w:r>
                </w:p>
              </w:tc>
              <w:tc>
                <w:tcPr>
                  <w:tcW w:w="304" w:type="pct"/>
                  <w:vMerge w:val="restart"/>
                  <w:noWrap w:val="0"/>
                  <w:vAlign w:val="center"/>
                </w:tcPr>
                <w:p w14:paraId="2FEE15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风量m</w:t>
                  </w:r>
                  <w:r>
                    <w:rPr>
                      <w:rFonts w:hint="default" w:ascii="Times New Roman" w:hAnsi="Times New Roman" w:cs="Times New Roman"/>
                      <w:b/>
                      <w:bCs/>
                      <w:i w:val="0"/>
                      <w:iCs w:val="0"/>
                      <w:color w:val="auto"/>
                      <w:kern w:val="0"/>
                      <w:sz w:val="21"/>
                      <w:szCs w:val="21"/>
                      <w:u w:val="none"/>
                      <w:vertAlign w:val="superscript"/>
                      <w:lang w:val="en-US" w:eastAsia="zh-CN" w:bidi="ar"/>
                    </w:rPr>
                    <w:t>3</w:t>
                  </w:r>
                  <w:r>
                    <w:rPr>
                      <w:rFonts w:hint="default" w:ascii="Times New Roman" w:hAnsi="Times New Roman" w:cs="Times New Roman"/>
                      <w:b/>
                      <w:bCs/>
                      <w:i w:val="0"/>
                      <w:iCs w:val="0"/>
                      <w:color w:val="auto"/>
                      <w:kern w:val="0"/>
                      <w:sz w:val="21"/>
                      <w:szCs w:val="21"/>
                      <w:u w:val="none"/>
                      <w:lang w:val="en-US" w:eastAsia="zh-CN" w:bidi="ar"/>
                    </w:rPr>
                    <w:t>/h</w:t>
                  </w:r>
                </w:p>
              </w:tc>
              <w:tc>
                <w:tcPr>
                  <w:tcW w:w="739" w:type="pct"/>
                  <w:vMerge w:val="restart"/>
                  <w:noWrap w:val="0"/>
                  <w:vAlign w:val="center"/>
                </w:tcPr>
                <w:p w14:paraId="7F14F76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排气筒参数</w:t>
                  </w:r>
                </w:p>
              </w:tc>
            </w:tr>
            <w:tr w14:paraId="4A9A4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7" w:type="pct"/>
                  <w:vMerge w:val="continue"/>
                  <w:noWrap w:val="0"/>
                  <w:vAlign w:val="center"/>
                </w:tcPr>
                <w:p w14:paraId="49592A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455" w:type="pct"/>
                  <w:vMerge w:val="continue"/>
                  <w:noWrap w:val="0"/>
                  <w:vAlign w:val="center"/>
                </w:tcPr>
                <w:p w14:paraId="1C62B8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424" w:type="pct"/>
                  <w:noWrap w:val="0"/>
                  <w:vAlign w:val="center"/>
                </w:tcPr>
                <w:p w14:paraId="20E72E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产生量</w:t>
                  </w:r>
                </w:p>
                <w:p w14:paraId="008F34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t/a</w:t>
                  </w:r>
                </w:p>
              </w:tc>
              <w:tc>
                <w:tcPr>
                  <w:tcW w:w="425" w:type="pct"/>
                  <w:noWrap w:val="0"/>
                  <w:vAlign w:val="center"/>
                </w:tcPr>
                <w:p w14:paraId="5884E0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速率</w:t>
                  </w:r>
                </w:p>
                <w:p w14:paraId="17D2AB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kg/h</w:t>
                  </w:r>
                </w:p>
              </w:tc>
              <w:tc>
                <w:tcPr>
                  <w:tcW w:w="512" w:type="pct"/>
                  <w:noWrap w:val="0"/>
                  <w:vAlign w:val="center"/>
                </w:tcPr>
                <w:p w14:paraId="15EDE3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浓度</w:t>
                  </w:r>
                </w:p>
                <w:p w14:paraId="27E2AE8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mg/m</w:t>
                  </w:r>
                  <w:r>
                    <w:rPr>
                      <w:rFonts w:hint="default" w:ascii="Times New Roman" w:hAnsi="Times New Roman" w:cs="Times New Roman"/>
                      <w:b/>
                      <w:bCs/>
                      <w:i w:val="0"/>
                      <w:iCs w:val="0"/>
                      <w:color w:val="auto"/>
                      <w:kern w:val="0"/>
                      <w:sz w:val="21"/>
                      <w:szCs w:val="21"/>
                      <w:u w:val="none"/>
                      <w:vertAlign w:val="superscript"/>
                      <w:lang w:val="en-US" w:eastAsia="zh-CN" w:bidi="ar"/>
                    </w:rPr>
                    <w:t>3</w:t>
                  </w:r>
                </w:p>
              </w:tc>
              <w:tc>
                <w:tcPr>
                  <w:tcW w:w="256" w:type="pct"/>
                  <w:vMerge w:val="continue"/>
                  <w:noWrap w:val="0"/>
                  <w:vAlign w:val="center"/>
                </w:tcPr>
                <w:p w14:paraId="377835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p>
              </w:tc>
              <w:tc>
                <w:tcPr>
                  <w:tcW w:w="408" w:type="pct"/>
                  <w:noWrap w:val="0"/>
                  <w:vAlign w:val="center"/>
                </w:tcPr>
                <w:p w14:paraId="3E178B2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排放量</w:t>
                  </w:r>
                </w:p>
                <w:p w14:paraId="4EEBAFE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t/a</w:t>
                  </w:r>
                </w:p>
              </w:tc>
              <w:tc>
                <w:tcPr>
                  <w:tcW w:w="408" w:type="pct"/>
                  <w:noWrap w:val="0"/>
                  <w:vAlign w:val="center"/>
                </w:tcPr>
                <w:p w14:paraId="676401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速率</w:t>
                  </w:r>
                </w:p>
                <w:p w14:paraId="67ABBC9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kg/h</w:t>
                  </w:r>
                </w:p>
              </w:tc>
              <w:tc>
                <w:tcPr>
                  <w:tcW w:w="544" w:type="pct"/>
                  <w:noWrap w:val="0"/>
                  <w:vAlign w:val="center"/>
                </w:tcPr>
                <w:p w14:paraId="2611808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浓度</w:t>
                  </w:r>
                </w:p>
                <w:p w14:paraId="10FDB0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mg/m</w:t>
                  </w:r>
                  <w:r>
                    <w:rPr>
                      <w:rFonts w:hint="default" w:ascii="Times New Roman" w:hAnsi="Times New Roman" w:cs="Times New Roman"/>
                      <w:b/>
                      <w:bCs/>
                      <w:i w:val="0"/>
                      <w:iCs w:val="0"/>
                      <w:color w:val="auto"/>
                      <w:kern w:val="0"/>
                      <w:sz w:val="21"/>
                      <w:szCs w:val="21"/>
                      <w:u w:val="none"/>
                      <w:vertAlign w:val="superscript"/>
                      <w:lang w:val="en-US" w:eastAsia="zh-CN" w:bidi="ar"/>
                    </w:rPr>
                    <w:t>3</w:t>
                  </w:r>
                </w:p>
              </w:tc>
              <w:tc>
                <w:tcPr>
                  <w:tcW w:w="272" w:type="pct"/>
                  <w:vMerge w:val="continue"/>
                  <w:noWrap w:val="0"/>
                  <w:vAlign w:val="center"/>
                </w:tcPr>
                <w:p w14:paraId="471AF4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304" w:type="pct"/>
                  <w:vMerge w:val="continue"/>
                  <w:noWrap w:val="0"/>
                  <w:vAlign w:val="center"/>
                </w:tcPr>
                <w:p w14:paraId="1D3443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739" w:type="pct"/>
                  <w:vMerge w:val="continue"/>
                  <w:noWrap w:val="0"/>
                  <w:vAlign w:val="center"/>
                </w:tcPr>
                <w:p w14:paraId="395CFC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5364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47" w:type="pct"/>
                  <w:noWrap w:val="0"/>
                  <w:vAlign w:val="center"/>
                </w:tcPr>
                <w:p w14:paraId="71374A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注塑工序</w:t>
                  </w:r>
                </w:p>
              </w:tc>
              <w:tc>
                <w:tcPr>
                  <w:tcW w:w="455" w:type="pct"/>
                  <w:noWrap w:val="0"/>
                  <w:vAlign w:val="center"/>
                </w:tcPr>
                <w:p w14:paraId="10D6E6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非甲烷总烃</w:t>
                  </w:r>
                </w:p>
              </w:tc>
              <w:tc>
                <w:tcPr>
                  <w:tcW w:w="424" w:type="pct"/>
                  <w:noWrap w:val="0"/>
                  <w:vAlign w:val="center"/>
                </w:tcPr>
                <w:p w14:paraId="53A927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2.916</w:t>
                  </w:r>
                </w:p>
              </w:tc>
              <w:tc>
                <w:tcPr>
                  <w:tcW w:w="425" w:type="pct"/>
                  <w:noWrap w:val="0"/>
                  <w:vAlign w:val="center"/>
                </w:tcPr>
                <w:p w14:paraId="53FD7E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292</w:t>
                  </w:r>
                </w:p>
              </w:tc>
              <w:tc>
                <w:tcPr>
                  <w:tcW w:w="512" w:type="pct"/>
                  <w:noWrap w:val="0"/>
                  <w:vAlign w:val="center"/>
                </w:tcPr>
                <w:p w14:paraId="378FC68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29.2</w:t>
                  </w:r>
                </w:p>
              </w:tc>
              <w:tc>
                <w:tcPr>
                  <w:tcW w:w="256" w:type="pct"/>
                  <w:vMerge w:val="restart"/>
                  <w:noWrap w:val="0"/>
                  <w:vAlign w:val="center"/>
                </w:tcPr>
                <w:p w14:paraId="275189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过滤棉+</w:t>
                  </w:r>
                  <w:r>
                    <w:rPr>
                      <w:rFonts w:hint="default" w:ascii="Times New Roman" w:hAnsi="Times New Roman" w:cs="Times New Roman"/>
                      <w:i w:val="0"/>
                      <w:iCs w:val="0"/>
                      <w:color w:val="auto"/>
                      <w:kern w:val="0"/>
                      <w:sz w:val="21"/>
                      <w:szCs w:val="21"/>
                      <w:u w:val="none"/>
                      <w:lang w:val="en-US" w:eastAsia="zh-CN" w:bidi="ar"/>
                    </w:rPr>
                    <w:t>二级活性炭</w:t>
                  </w:r>
                </w:p>
              </w:tc>
              <w:tc>
                <w:tcPr>
                  <w:tcW w:w="408" w:type="pct"/>
                  <w:noWrap w:val="0"/>
                  <w:vAlign w:val="center"/>
                </w:tcPr>
                <w:p w14:paraId="5098DD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292</w:t>
                  </w:r>
                </w:p>
              </w:tc>
              <w:tc>
                <w:tcPr>
                  <w:tcW w:w="408" w:type="pct"/>
                  <w:noWrap w:val="0"/>
                  <w:vAlign w:val="center"/>
                </w:tcPr>
                <w:p w14:paraId="406C707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121</w:t>
                  </w:r>
                </w:p>
              </w:tc>
              <w:tc>
                <w:tcPr>
                  <w:tcW w:w="544" w:type="pct"/>
                  <w:vMerge w:val="restart"/>
                  <w:noWrap w:val="0"/>
                  <w:vAlign w:val="center"/>
                </w:tcPr>
                <w:p w14:paraId="08F18B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13.8</w:t>
                  </w:r>
                </w:p>
              </w:tc>
              <w:tc>
                <w:tcPr>
                  <w:tcW w:w="272" w:type="pct"/>
                  <w:vMerge w:val="restart"/>
                  <w:noWrap w:val="0"/>
                  <w:vAlign w:val="center"/>
                </w:tcPr>
                <w:p w14:paraId="530B76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2400</w:t>
                  </w:r>
                </w:p>
              </w:tc>
              <w:tc>
                <w:tcPr>
                  <w:tcW w:w="304" w:type="pct"/>
                  <w:vMerge w:val="restart"/>
                  <w:noWrap w:val="0"/>
                  <w:vAlign w:val="center"/>
                </w:tcPr>
                <w:p w14:paraId="5BA1DC3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10</w:t>
                  </w:r>
                  <w:r>
                    <w:rPr>
                      <w:rFonts w:hint="default" w:ascii="Times New Roman" w:hAnsi="Times New Roman" w:cs="Times New Roman"/>
                      <w:i w:val="0"/>
                      <w:iCs w:val="0"/>
                      <w:color w:val="auto"/>
                      <w:kern w:val="0"/>
                      <w:sz w:val="21"/>
                      <w:szCs w:val="21"/>
                      <w:u w:val="none"/>
                      <w:lang w:val="en-US" w:eastAsia="zh-CN" w:bidi="ar"/>
                    </w:rPr>
                    <w:t>000</w:t>
                  </w:r>
                </w:p>
              </w:tc>
              <w:tc>
                <w:tcPr>
                  <w:tcW w:w="739" w:type="pct"/>
                  <w:vMerge w:val="restart"/>
                  <w:noWrap w:val="0"/>
                  <w:vAlign w:val="center"/>
                </w:tcPr>
                <w:p w14:paraId="1DE197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DA001，H=15m，内径0.5m</w:t>
                  </w:r>
                </w:p>
                <w:p w14:paraId="642E94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一般排放口；</w:t>
                  </w:r>
                </w:p>
                <w:p w14:paraId="0C855F8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坐标：117.139289，31.499440</w:t>
                  </w:r>
                </w:p>
              </w:tc>
            </w:tr>
            <w:tr w14:paraId="0E04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47" w:type="pct"/>
                  <w:vMerge w:val="restart"/>
                  <w:noWrap w:val="0"/>
                  <w:vAlign w:val="center"/>
                </w:tcPr>
                <w:p w14:paraId="204815B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喷漆工序</w:t>
                  </w:r>
                </w:p>
              </w:tc>
              <w:tc>
                <w:tcPr>
                  <w:tcW w:w="455" w:type="pct"/>
                  <w:noWrap w:val="0"/>
                  <w:vAlign w:val="center"/>
                </w:tcPr>
                <w:p w14:paraId="4E624CE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非甲烷总烃</w:t>
                  </w:r>
                </w:p>
              </w:tc>
              <w:tc>
                <w:tcPr>
                  <w:tcW w:w="424" w:type="pct"/>
                  <w:noWrap w:val="0"/>
                  <w:vAlign w:val="center"/>
                </w:tcPr>
                <w:p w14:paraId="7C7D39C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0.408</w:t>
                  </w:r>
                </w:p>
              </w:tc>
              <w:tc>
                <w:tcPr>
                  <w:tcW w:w="425" w:type="pct"/>
                  <w:noWrap w:val="0"/>
                  <w:vAlign w:val="center"/>
                </w:tcPr>
                <w:p w14:paraId="4B9CEE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0.17</w:t>
                  </w:r>
                </w:p>
              </w:tc>
              <w:tc>
                <w:tcPr>
                  <w:tcW w:w="512" w:type="pct"/>
                  <w:noWrap w:val="0"/>
                  <w:vAlign w:val="center"/>
                </w:tcPr>
                <w:p w14:paraId="702F943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21.25</w:t>
                  </w:r>
                </w:p>
              </w:tc>
              <w:tc>
                <w:tcPr>
                  <w:tcW w:w="256" w:type="pct"/>
                  <w:vMerge w:val="continue"/>
                  <w:noWrap w:val="0"/>
                  <w:vAlign w:val="center"/>
                </w:tcPr>
                <w:p w14:paraId="73F4C4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408" w:type="pct"/>
                  <w:noWrap w:val="0"/>
                  <w:vAlign w:val="center"/>
                </w:tcPr>
                <w:p w14:paraId="04AD91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0.041</w:t>
                  </w:r>
                </w:p>
              </w:tc>
              <w:tc>
                <w:tcPr>
                  <w:tcW w:w="408" w:type="pct"/>
                  <w:noWrap w:val="0"/>
                  <w:vAlign w:val="center"/>
                </w:tcPr>
                <w:p w14:paraId="3D0E051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0.017</w:t>
                  </w:r>
                </w:p>
              </w:tc>
              <w:tc>
                <w:tcPr>
                  <w:tcW w:w="544" w:type="pct"/>
                  <w:vMerge w:val="continue"/>
                  <w:noWrap w:val="0"/>
                  <w:vAlign w:val="center"/>
                </w:tcPr>
                <w:p w14:paraId="059D75D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272" w:type="pct"/>
                  <w:vMerge w:val="continue"/>
                  <w:noWrap w:val="0"/>
                  <w:vAlign w:val="center"/>
                </w:tcPr>
                <w:p w14:paraId="2809B3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304" w:type="pct"/>
                  <w:vMerge w:val="continue"/>
                  <w:noWrap w:val="0"/>
                  <w:vAlign w:val="center"/>
                </w:tcPr>
                <w:p w14:paraId="4FD1D63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739" w:type="pct"/>
                  <w:vMerge w:val="continue"/>
                  <w:noWrap w:val="0"/>
                  <w:vAlign w:val="center"/>
                </w:tcPr>
                <w:p w14:paraId="1AD6EC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3ACC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47" w:type="pct"/>
                  <w:vMerge w:val="continue"/>
                  <w:noWrap w:val="0"/>
                  <w:vAlign w:val="center"/>
                </w:tcPr>
                <w:p w14:paraId="6CB204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cs="Times New Roman"/>
                      <w:i w:val="0"/>
                      <w:iCs w:val="0"/>
                      <w:color w:val="auto"/>
                      <w:kern w:val="0"/>
                      <w:sz w:val="21"/>
                      <w:szCs w:val="21"/>
                      <w:u w:val="none"/>
                      <w:lang w:val="en-US" w:eastAsia="zh-CN" w:bidi="ar"/>
                    </w:rPr>
                  </w:pPr>
                </w:p>
              </w:tc>
              <w:tc>
                <w:tcPr>
                  <w:tcW w:w="455" w:type="pct"/>
                  <w:noWrap w:val="0"/>
                  <w:vAlign w:val="center"/>
                </w:tcPr>
                <w:p w14:paraId="53072CF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424" w:type="pct"/>
                  <w:noWrap w:val="0"/>
                  <w:vAlign w:val="center"/>
                </w:tcPr>
                <w:p w14:paraId="206525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1.19</w:t>
                  </w:r>
                </w:p>
              </w:tc>
              <w:tc>
                <w:tcPr>
                  <w:tcW w:w="425" w:type="pct"/>
                  <w:noWrap w:val="0"/>
                  <w:vAlign w:val="center"/>
                </w:tcPr>
                <w:p w14:paraId="09A970A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0.496</w:t>
                  </w:r>
                </w:p>
              </w:tc>
              <w:tc>
                <w:tcPr>
                  <w:tcW w:w="512" w:type="pct"/>
                  <w:noWrap w:val="0"/>
                  <w:vAlign w:val="center"/>
                </w:tcPr>
                <w:p w14:paraId="7B4530F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49.6</w:t>
                  </w:r>
                </w:p>
              </w:tc>
              <w:tc>
                <w:tcPr>
                  <w:tcW w:w="256" w:type="pct"/>
                  <w:vMerge w:val="continue"/>
                  <w:noWrap w:val="0"/>
                  <w:vAlign w:val="center"/>
                </w:tcPr>
                <w:p w14:paraId="3CAE9E0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408" w:type="pct"/>
                  <w:shd w:val="clear" w:color="auto" w:fill="auto"/>
                  <w:noWrap w:val="0"/>
                  <w:vAlign w:val="center"/>
                </w:tcPr>
                <w:p w14:paraId="354550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0.119</w:t>
                  </w:r>
                </w:p>
              </w:tc>
              <w:tc>
                <w:tcPr>
                  <w:tcW w:w="408" w:type="pct"/>
                  <w:shd w:val="clear" w:color="auto" w:fill="auto"/>
                  <w:noWrap w:val="0"/>
                  <w:vAlign w:val="center"/>
                </w:tcPr>
                <w:p w14:paraId="6B04AE6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0.05</w:t>
                  </w:r>
                </w:p>
              </w:tc>
              <w:tc>
                <w:tcPr>
                  <w:tcW w:w="544" w:type="pct"/>
                  <w:noWrap w:val="0"/>
                  <w:vAlign w:val="center"/>
                </w:tcPr>
                <w:p w14:paraId="2473AA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5</w:t>
                  </w:r>
                </w:p>
              </w:tc>
              <w:tc>
                <w:tcPr>
                  <w:tcW w:w="272" w:type="pct"/>
                  <w:vMerge w:val="continue"/>
                  <w:noWrap w:val="0"/>
                  <w:vAlign w:val="center"/>
                </w:tcPr>
                <w:p w14:paraId="6A7F48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304" w:type="pct"/>
                  <w:vMerge w:val="continue"/>
                  <w:noWrap w:val="0"/>
                  <w:vAlign w:val="center"/>
                </w:tcPr>
                <w:p w14:paraId="5E6CFC4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739" w:type="pct"/>
                  <w:vMerge w:val="continue"/>
                  <w:noWrap w:val="0"/>
                  <w:vAlign w:val="center"/>
                </w:tcPr>
                <w:p w14:paraId="3C49E7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7F0EE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47" w:type="pct"/>
                  <w:noWrap w:val="0"/>
                  <w:vAlign w:val="center"/>
                </w:tcPr>
                <w:p w14:paraId="6E6079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破碎工序</w:t>
                  </w:r>
                </w:p>
              </w:tc>
              <w:tc>
                <w:tcPr>
                  <w:tcW w:w="455" w:type="pct"/>
                  <w:shd w:val="clear" w:color="auto" w:fill="auto"/>
                  <w:noWrap w:val="0"/>
                  <w:vAlign w:val="center"/>
                </w:tcPr>
                <w:p w14:paraId="791A93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424" w:type="pct"/>
                  <w:shd w:val="clear" w:color="auto" w:fill="auto"/>
                  <w:noWrap w:val="0"/>
                  <w:vAlign w:val="center"/>
                </w:tcPr>
                <w:p w14:paraId="195685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0.02</w:t>
                  </w:r>
                </w:p>
              </w:tc>
              <w:tc>
                <w:tcPr>
                  <w:tcW w:w="425" w:type="pct"/>
                  <w:shd w:val="clear" w:color="auto" w:fill="auto"/>
                  <w:noWrap w:val="0"/>
                  <w:vAlign w:val="center"/>
                </w:tcPr>
                <w:p w14:paraId="2F38C3D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0.033</w:t>
                  </w:r>
                </w:p>
              </w:tc>
              <w:tc>
                <w:tcPr>
                  <w:tcW w:w="512" w:type="pct"/>
                  <w:shd w:val="clear" w:color="auto" w:fill="auto"/>
                  <w:noWrap w:val="0"/>
                  <w:vAlign w:val="center"/>
                </w:tcPr>
                <w:p w14:paraId="54AD4BE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11</w:t>
                  </w:r>
                </w:p>
              </w:tc>
              <w:tc>
                <w:tcPr>
                  <w:tcW w:w="256" w:type="pct"/>
                  <w:noWrap w:val="0"/>
                  <w:vAlign w:val="center"/>
                </w:tcPr>
                <w:p w14:paraId="2E82B13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布袋除尘器</w:t>
                  </w:r>
                </w:p>
              </w:tc>
              <w:tc>
                <w:tcPr>
                  <w:tcW w:w="408" w:type="pct"/>
                  <w:shd w:val="clear" w:color="auto" w:fill="auto"/>
                  <w:noWrap w:val="0"/>
                  <w:vAlign w:val="center"/>
                </w:tcPr>
                <w:p w14:paraId="44EE43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0.0002</w:t>
                  </w:r>
                </w:p>
              </w:tc>
              <w:tc>
                <w:tcPr>
                  <w:tcW w:w="408" w:type="pct"/>
                  <w:shd w:val="clear" w:color="auto" w:fill="auto"/>
                  <w:noWrap w:val="0"/>
                  <w:vAlign w:val="center"/>
                </w:tcPr>
                <w:p w14:paraId="3755B10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0.00033</w:t>
                  </w:r>
                </w:p>
              </w:tc>
              <w:tc>
                <w:tcPr>
                  <w:tcW w:w="544" w:type="pct"/>
                  <w:shd w:val="clear" w:color="auto" w:fill="auto"/>
                  <w:noWrap w:val="0"/>
                  <w:vAlign w:val="center"/>
                </w:tcPr>
                <w:p w14:paraId="7BAFFD4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11</w:t>
                  </w:r>
                </w:p>
              </w:tc>
              <w:tc>
                <w:tcPr>
                  <w:tcW w:w="272" w:type="pct"/>
                  <w:shd w:val="clear" w:color="auto" w:fill="auto"/>
                  <w:noWrap w:val="0"/>
                  <w:vAlign w:val="center"/>
                </w:tcPr>
                <w:p w14:paraId="2DC64D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600</w:t>
                  </w:r>
                </w:p>
              </w:tc>
              <w:tc>
                <w:tcPr>
                  <w:tcW w:w="304" w:type="pct"/>
                  <w:noWrap w:val="0"/>
                  <w:vAlign w:val="center"/>
                </w:tcPr>
                <w:p w14:paraId="15885AC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3000</w:t>
                  </w:r>
                </w:p>
              </w:tc>
              <w:tc>
                <w:tcPr>
                  <w:tcW w:w="739" w:type="pct"/>
                  <w:noWrap w:val="0"/>
                  <w:vAlign w:val="center"/>
                </w:tcPr>
                <w:p w14:paraId="59D206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DA00</w:t>
                  </w:r>
                  <w:r>
                    <w:rPr>
                      <w:rFonts w:hint="eastAsia" w:ascii="Times New Roman" w:hAnsi="Times New Roman" w:cs="Times New Roman"/>
                      <w:i w:val="0"/>
                      <w:iCs w:val="0"/>
                      <w:color w:val="auto"/>
                      <w:kern w:val="0"/>
                      <w:sz w:val="21"/>
                      <w:szCs w:val="21"/>
                      <w:u w:val="none"/>
                      <w:lang w:val="en-US" w:eastAsia="zh-CN" w:bidi="ar"/>
                    </w:rPr>
                    <w:t>2</w:t>
                  </w:r>
                  <w:r>
                    <w:rPr>
                      <w:rFonts w:hint="default" w:ascii="Times New Roman" w:hAnsi="Times New Roman" w:cs="Times New Roman"/>
                      <w:i w:val="0"/>
                      <w:iCs w:val="0"/>
                      <w:color w:val="auto"/>
                      <w:kern w:val="0"/>
                      <w:sz w:val="21"/>
                      <w:szCs w:val="21"/>
                      <w:u w:val="none"/>
                      <w:lang w:val="en-US" w:eastAsia="zh-CN" w:bidi="ar"/>
                    </w:rPr>
                    <w:t>，H=15m，内径0.5m</w:t>
                  </w:r>
                </w:p>
                <w:p w14:paraId="7B1CC0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一般排放口；</w:t>
                  </w:r>
                </w:p>
                <w:p w14:paraId="754951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坐标：117.139289，31.499440</w:t>
                  </w:r>
                </w:p>
              </w:tc>
            </w:tr>
          </w:tbl>
          <w:p w14:paraId="7011B90E">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w:t>
            </w:r>
            <w:r>
              <w:rPr>
                <w:rFonts w:hint="default" w:ascii="Times New Roman" w:hAnsi="Times New Roman" w:cs="Times New Roman"/>
                <w:b/>
                <w:color w:val="auto"/>
                <w:sz w:val="21"/>
                <w:szCs w:val="21"/>
                <w:lang w:val="en-US" w:eastAsia="zh-CN"/>
              </w:rPr>
              <w:t>2</w:t>
            </w:r>
            <w:r>
              <w:rPr>
                <w:rFonts w:hint="default" w:ascii="Times New Roman" w:hAnsi="Times New Roman" w:eastAsia="宋体" w:cs="Times New Roman"/>
                <w:b/>
                <w:color w:val="auto"/>
                <w:sz w:val="21"/>
                <w:szCs w:val="21"/>
                <w:lang w:val="en-US" w:eastAsia="zh-CN"/>
              </w:rPr>
              <w:t xml:space="preserve">  项目建成后无组织废气排放情况</w:t>
            </w:r>
          </w:p>
          <w:tbl>
            <w:tblPr>
              <w:tblStyle w:val="25"/>
              <w:tblW w:w="4998"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1169"/>
              <w:gridCol w:w="2740"/>
              <w:gridCol w:w="1142"/>
              <w:gridCol w:w="1055"/>
              <w:gridCol w:w="1695"/>
            </w:tblGrid>
            <w:tr w14:paraId="193926A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05" w:type="pct"/>
                  <w:gridSpan w:val="2"/>
                  <w:vMerge w:val="restart"/>
                  <w:noWrap w:val="0"/>
                  <w:tcMar>
                    <w:top w:w="12" w:type="dxa"/>
                    <w:left w:w="12" w:type="dxa"/>
                    <w:right w:w="12" w:type="dxa"/>
                  </w:tcMar>
                  <w:vAlign w:val="center"/>
                </w:tcPr>
                <w:p w14:paraId="66044D7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污染物产生单元或装置</w:t>
                  </w:r>
                </w:p>
              </w:tc>
              <w:tc>
                <w:tcPr>
                  <w:tcW w:w="1408" w:type="pct"/>
                  <w:gridSpan w:val="2"/>
                  <w:noWrap w:val="0"/>
                  <w:tcMar>
                    <w:top w:w="12" w:type="dxa"/>
                    <w:left w:w="12" w:type="dxa"/>
                    <w:right w:w="12" w:type="dxa"/>
                  </w:tcMar>
                  <w:vAlign w:val="center"/>
                </w:tcPr>
                <w:p w14:paraId="71A90CA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排放量</w:t>
                  </w:r>
                </w:p>
              </w:tc>
              <w:tc>
                <w:tcPr>
                  <w:tcW w:w="1086" w:type="pct"/>
                  <w:tcBorders>
                    <w:bottom w:val="single" w:color="auto" w:sz="4" w:space="0"/>
                  </w:tcBorders>
                  <w:noWrap w:val="0"/>
                  <w:tcMar>
                    <w:top w:w="12" w:type="dxa"/>
                    <w:left w:w="12" w:type="dxa"/>
                    <w:right w:w="12" w:type="dxa"/>
                  </w:tcMar>
                  <w:vAlign w:val="center"/>
                </w:tcPr>
                <w:p w14:paraId="61BCE7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年小时排放小时数</w:t>
                  </w:r>
                </w:p>
              </w:tc>
            </w:tr>
            <w:tr w14:paraId="6FE9B87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505" w:type="pct"/>
                  <w:gridSpan w:val="2"/>
                  <w:vMerge w:val="continue"/>
                  <w:noWrap w:val="0"/>
                  <w:tcMar>
                    <w:top w:w="12" w:type="dxa"/>
                    <w:left w:w="12" w:type="dxa"/>
                    <w:right w:w="12" w:type="dxa"/>
                  </w:tcMar>
                  <w:vAlign w:val="center"/>
                </w:tcPr>
                <w:p w14:paraId="13637B4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p>
              </w:tc>
              <w:tc>
                <w:tcPr>
                  <w:tcW w:w="732" w:type="pct"/>
                  <w:noWrap w:val="0"/>
                  <w:tcMar>
                    <w:top w:w="12" w:type="dxa"/>
                    <w:left w:w="12" w:type="dxa"/>
                    <w:right w:w="12" w:type="dxa"/>
                  </w:tcMar>
                  <w:vAlign w:val="center"/>
                </w:tcPr>
                <w:p w14:paraId="7EB8B8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kg/h</w:t>
                  </w:r>
                </w:p>
              </w:tc>
              <w:tc>
                <w:tcPr>
                  <w:tcW w:w="676" w:type="pct"/>
                  <w:noWrap w:val="0"/>
                  <w:tcMar>
                    <w:top w:w="12" w:type="dxa"/>
                    <w:left w:w="12" w:type="dxa"/>
                    <w:right w:w="12" w:type="dxa"/>
                  </w:tcMar>
                  <w:vAlign w:val="center"/>
                </w:tcPr>
                <w:p w14:paraId="0A63B74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t/a</w:t>
                  </w:r>
                </w:p>
              </w:tc>
              <w:tc>
                <w:tcPr>
                  <w:tcW w:w="1086" w:type="pct"/>
                  <w:tcBorders>
                    <w:top w:val="single" w:color="auto" w:sz="4" w:space="0"/>
                  </w:tcBorders>
                  <w:noWrap w:val="0"/>
                  <w:tcMar>
                    <w:top w:w="12" w:type="dxa"/>
                    <w:left w:w="12" w:type="dxa"/>
                    <w:right w:w="12" w:type="dxa"/>
                  </w:tcMar>
                  <w:vAlign w:val="center"/>
                </w:tcPr>
                <w:p w14:paraId="145D2E6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h</w:t>
                  </w:r>
                </w:p>
              </w:tc>
            </w:tr>
            <w:tr w14:paraId="0ED550D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49" w:type="pct"/>
                  <w:vMerge w:val="restart"/>
                  <w:tcBorders>
                    <w:top w:val="single" w:color="auto" w:sz="4" w:space="0"/>
                    <w:right w:val="single" w:color="auto" w:sz="4" w:space="0"/>
                  </w:tcBorders>
                  <w:noWrap w:val="0"/>
                  <w:tcMar>
                    <w:top w:w="12" w:type="dxa"/>
                    <w:left w:w="12" w:type="dxa"/>
                    <w:right w:w="12" w:type="dxa"/>
                  </w:tcMar>
                  <w:vAlign w:val="center"/>
                </w:tcPr>
                <w:p w14:paraId="4AB268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生产车间</w:t>
                  </w:r>
                </w:p>
              </w:tc>
              <w:tc>
                <w:tcPr>
                  <w:tcW w:w="1755" w:type="pct"/>
                  <w:tcBorders>
                    <w:top w:val="single" w:color="auto" w:sz="4" w:space="0"/>
                    <w:left w:val="single" w:color="auto" w:sz="4" w:space="0"/>
                    <w:bottom w:val="single" w:color="auto" w:sz="4" w:space="0"/>
                  </w:tcBorders>
                  <w:noWrap w:val="0"/>
                  <w:tcMar>
                    <w:top w:w="12" w:type="dxa"/>
                    <w:left w:w="12" w:type="dxa"/>
                    <w:right w:w="12" w:type="dxa"/>
                  </w:tcMar>
                  <w:vAlign w:val="center"/>
                </w:tcPr>
                <w:p w14:paraId="685868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非甲烷总烃</w:t>
                  </w:r>
                </w:p>
              </w:tc>
              <w:tc>
                <w:tcPr>
                  <w:tcW w:w="732" w:type="pct"/>
                  <w:shd w:val="clear" w:color="auto" w:fill="auto"/>
                  <w:noWrap w:val="0"/>
                  <w:tcMar>
                    <w:top w:w="12" w:type="dxa"/>
                    <w:left w:w="12" w:type="dxa"/>
                    <w:right w:w="12" w:type="dxa"/>
                  </w:tcMar>
                  <w:vAlign w:val="center"/>
                </w:tcPr>
                <w:p w14:paraId="1FDBE43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144</w:t>
                  </w:r>
                </w:p>
              </w:tc>
              <w:tc>
                <w:tcPr>
                  <w:tcW w:w="676" w:type="pct"/>
                  <w:tcBorders>
                    <w:top w:val="single" w:color="auto" w:sz="4" w:space="0"/>
                    <w:bottom w:val="single" w:color="auto" w:sz="4" w:space="0"/>
                  </w:tcBorders>
                  <w:shd w:val="clear" w:color="auto" w:fill="auto"/>
                  <w:noWrap w:val="0"/>
                  <w:tcMar>
                    <w:top w:w="12" w:type="dxa"/>
                    <w:left w:w="12" w:type="dxa"/>
                    <w:right w:w="12" w:type="dxa"/>
                  </w:tcMar>
                  <w:vAlign w:val="center"/>
                </w:tcPr>
                <w:p w14:paraId="5ACC14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346</w:t>
                  </w:r>
                </w:p>
              </w:tc>
              <w:tc>
                <w:tcPr>
                  <w:tcW w:w="1086" w:type="pct"/>
                  <w:vMerge w:val="restart"/>
                  <w:tcBorders>
                    <w:top w:val="single" w:color="auto" w:sz="4" w:space="0"/>
                  </w:tcBorders>
                  <w:shd w:val="clear" w:color="auto" w:fill="auto"/>
                  <w:noWrap w:val="0"/>
                  <w:tcMar>
                    <w:top w:w="12" w:type="dxa"/>
                    <w:left w:w="12" w:type="dxa"/>
                    <w:right w:w="12" w:type="dxa"/>
                  </w:tcMar>
                  <w:vAlign w:val="center"/>
                </w:tcPr>
                <w:p w14:paraId="0C6C436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2400</w:t>
                  </w:r>
                </w:p>
              </w:tc>
            </w:tr>
            <w:tr w14:paraId="351E5EF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49" w:type="pct"/>
                  <w:vMerge w:val="continue"/>
                  <w:tcBorders>
                    <w:right w:val="single" w:color="auto" w:sz="4" w:space="0"/>
                  </w:tcBorders>
                  <w:noWrap w:val="0"/>
                  <w:tcMar>
                    <w:top w:w="12" w:type="dxa"/>
                    <w:left w:w="12" w:type="dxa"/>
                    <w:right w:w="12" w:type="dxa"/>
                  </w:tcMar>
                  <w:vAlign w:val="center"/>
                </w:tcPr>
                <w:p w14:paraId="416E16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755" w:type="pct"/>
                  <w:tcBorders>
                    <w:top w:val="single" w:color="auto" w:sz="4" w:space="0"/>
                    <w:left w:val="single" w:color="auto" w:sz="4" w:space="0"/>
                  </w:tcBorders>
                  <w:noWrap w:val="0"/>
                  <w:tcMar>
                    <w:top w:w="12" w:type="dxa"/>
                    <w:left w:w="12" w:type="dxa"/>
                    <w:right w:w="12" w:type="dxa"/>
                  </w:tcMar>
                  <w:vAlign w:val="center"/>
                </w:tcPr>
                <w:p w14:paraId="5F78648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732" w:type="pct"/>
                  <w:shd w:val="clear" w:color="auto" w:fill="auto"/>
                  <w:noWrap w:val="0"/>
                  <w:tcMar>
                    <w:top w:w="12" w:type="dxa"/>
                    <w:left w:w="12" w:type="dxa"/>
                    <w:right w:w="12" w:type="dxa"/>
                  </w:tcMar>
                  <w:vAlign w:val="center"/>
                </w:tcPr>
                <w:p w14:paraId="78236C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0.0142</w:t>
                  </w:r>
                </w:p>
              </w:tc>
              <w:tc>
                <w:tcPr>
                  <w:tcW w:w="676" w:type="pct"/>
                  <w:tcBorders>
                    <w:top w:val="single" w:color="auto" w:sz="4" w:space="0"/>
                    <w:bottom w:val="single" w:color="auto" w:sz="4" w:space="0"/>
                  </w:tcBorders>
                  <w:shd w:val="clear" w:color="auto" w:fill="auto"/>
                  <w:noWrap w:val="0"/>
                  <w:tcMar>
                    <w:top w:w="12" w:type="dxa"/>
                    <w:left w:w="12" w:type="dxa"/>
                    <w:right w:w="12" w:type="dxa"/>
                  </w:tcMar>
                  <w:vAlign w:val="center"/>
                </w:tcPr>
                <w:p w14:paraId="1E2F5B7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0.034</w:t>
                  </w:r>
                </w:p>
              </w:tc>
              <w:tc>
                <w:tcPr>
                  <w:tcW w:w="1086" w:type="pct"/>
                  <w:vMerge w:val="continue"/>
                  <w:tcBorders>
                    <w:bottom w:val="single" w:color="auto" w:sz="4" w:space="0"/>
                  </w:tcBorders>
                  <w:shd w:val="clear" w:color="auto" w:fill="auto"/>
                  <w:noWrap w:val="0"/>
                  <w:tcMar>
                    <w:top w:w="12" w:type="dxa"/>
                    <w:left w:w="12" w:type="dxa"/>
                    <w:right w:w="12" w:type="dxa"/>
                  </w:tcMar>
                  <w:vAlign w:val="center"/>
                </w:tcPr>
                <w:p w14:paraId="6607CC3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r>
          </w:tbl>
          <w:p w14:paraId="0A92F498">
            <w:pPr>
              <w:pStyle w:val="67"/>
              <w:ind w:firstLine="422"/>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2、非正常工况污染物源强核算</w:t>
            </w:r>
          </w:p>
          <w:p w14:paraId="7C5FC2F9">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非正常排放主要是设备检修，或工艺设备、环保设施达不到设计规定指标运行时的排污。本次评价考虑短时间内（以1h计）废气治理设备故障，净化效率为0的非正常排放（考虑最不利情况），非正常工况废气产生排放情况详见下表。</w:t>
            </w:r>
          </w:p>
          <w:p w14:paraId="3DA6F2BE">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表4-3  本项目非正常工况废气排放情况汇总表</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858"/>
              <w:gridCol w:w="1062"/>
              <w:gridCol w:w="861"/>
              <w:gridCol w:w="1525"/>
              <w:gridCol w:w="1264"/>
              <w:gridCol w:w="888"/>
              <w:gridCol w:w="843"/>
            </w:tblGrid>
            <w:tr w14:paraId="67C8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8" w:type="pct"/>
                  <w:noWrap w:val="0"/>
                  <w:vAlign w:val="center"/>
                </w:tcPr>
                <w:p w14:paraId="2C795C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序号</w:t>
                  </w:r>
                </w:p>
              </w:tc>
              <w:tc>
                <w:tcPr>
                  <w:tcW w:w="550" w:type="pct"/>
                  <w:noWrap w:val="0"/>
                  <w:vAlign w:val="center"/>
                </w:tcPr>
                <w:p w14:paraId="444480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非正常排放源</w:t>
                  </w:r>
                </w:p>
              </w:tc>
              <w:tc>
                <w:tcPr>
                  <w:tcW w:w="681" w:type="pct"/>
                  <w:noWrap w:val="0"/>
                  <w:vAlign w:val="center"/>
                </w:tcPr>
                <w:p w14:paraId="09E99E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非正常排放原因</w:t>
                  </w:r>
                </w:p>
              </w:tc>
              <w:tc>
                <w:tcPr>
                  <w:tcW w:w="552" w:type="pct"/>
                  <w:noWrap w:val="0"/>
                  <w:vAlign w:val="center"/>
                </w:tcPr>
                <w:p w14:paraId="4DB8F4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污染物</w:t>
                  </w:r>
                </w:p>
              </w:tc>
              <w:tc>
                <w:tcPr>
                  <w:tcW w:w="977" w:type="pct"/>
                  <w:noWrap w:val="0"/>
                  <w:vAlign w:val="center"/>
                </w:tcPr>
                <w:p w14:paraId="415A329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非正常排放排放浓度mg/m</w:t>
                  </w:r>
                  <w:r>
                    <w:rPr>
                      <w:rFonts w:hint="default" w:ascii="Times New Roman" w:hAnsi="Times New Roman" w:cs="Times New Roman"/>
                      <w:b/>
                      <w:bCs/>
                      <w:i w:val="0"/>
                      <w:iCs w:val="0"/>
                      <w:color w:val="auto"/>
                      <w:kern w:val="0"/>
                      <w:sz w:val="21"/>
                      <w:szCs w:val="21"/>
                      <w:u w:val="none"/>
                      <w:vertAlign w:val="superscript"/>
                      <w:lang w:val="en-US" w:eastAsia="zh-CN" w:bidi="ar"/>
                    </w:rPr>
                    <w:t>3</w:t>
                  </w:r>
                </w:p>
              </w:tc>
              <w:tc>
                <w:tcPr>
                  <w:tcW w:w="810" w:type="pct"/>
                  <w:noWrap w:val="0"/>
                  <w:vAlign w:val="center"/>
                </w:tcPr>
                <w:p w14:paraId="6ABBA3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非正常排放排放量kg/h</w:t>
                  </w:r>
                </w:p>
              </w:tc>
              <w:tc>
                <w:tcPr>
                  <w:tcW w:w="569" w:type="pct"/>
                  <w:noWrap w:val="0"/>
                  <w:vAlign w:val="center"/>
                </w:tcPr>
                <w:p w14:paraId="4EBC449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单次持续时间/h</w:t>
                  </w:r>
                </w:p>
              </w:tc>
              <w:tc>
                <w:tcPr>
                  <w:tcW w:w="540" w:type="pct"/>
                  <w:noWrap w:val="0"/>
                  <w:vAlign w:val="center"/>
                </w:tcPr>
                <w:p w14:paraId="7F9C07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b/>
                      <w:bCs/>
                      <w:i w:val="0"/>
                      <w:iCs w:val="0"/>
                      <w:color w:val="auto"/>
                      <w:kern w:val="0"/>
                      <w:sz w:val="21"/>
                      <w:szCs w:val="21"/>
                      <w:u w:val="none"/>
                      <w:lang w:val="en-US" w:eastAsia="zh-CN" w:bidi="ar"/>
                    </w:rPr>
                  </w:pPr>
                  <w:r>
                    <w:rPr>
                      <w:rFonts w:hint="default" w:ascii="Times New Roman" w:hAnsi="Times New Roman" w:cs="Times New Roman"/>
                      <w:b/>
                      <w:bCs/>
                      <w:i w:val="0"/>
                      <w:iCs w:val="0"/>
                      <w:color w:val="auto"/>
                      <w:kern w:val="0"/>
                      <w:sz w:val="21"/>
                      <w:szCs w:val="21"/>
                      <w:u w:val="none"/>
                      <w:lang w:val="en-US" w:eastAsia="zh-CN" w:bidi="ar"/>
                    </w:rPr>
                    <w:t>年发生频次/次</w:t>
                  </w:r>
                </w:p>
              </w:tc>
            </w:tr>
            <w:tr w14:paraId="4189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8" w:type="pct"/>
                  <w:vMerge w:val="restart"/>
                  <w:noWrap w:val="0"/>
                  <w:vAlign w:val="center"/>
                </w:tcPr>
                <w:p w14:paraId="795ACF8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c>
                <w:tcPr>
                  <w:tcW w:w="550" w:type="pct"/>
                  <w:vMerge w:val="restart"/>
                  <w:noWrap w:val="0"/>
                  <w:vAlign w:val="center"/>
                </w:tcPr>
                <w:p w14:paraId="7E1DF3D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DA001</w:t>
                  </w:r>
                </w:p>
              </w:tc>
              <w:tc>
                <w:tcPr>
                  <w:tcW w:w="681" w:type="pct"/>
                  <w:vMerge w:val="restart"/>
                  <w:noWrap w:val="0"/>
                  <w:vAlign w:val="center"/>
                </w:tcPr>
                <w:p w14:paraId="460DFF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废气处理设备故障</w:t>
                  </w:r>
                </w:p>
              </w:tc>
              <w:tc>
                <w:tcPr>
                  <w:tcW w:w="552" w:type="pct"/>
                  <w:noWrap w:val="0"/>
                  <w:vAlign w:val="center"/>
                </w:tcPr>
                <w:p w14:paraId="03CC66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非甲烷总烃</w:t>
                  </w:r>
                </w:p>
              </w:tc>
              <w:tc>
                <w:tcPr>
                  <w:tcW w:w="977" w:type="pct"/>
                  <w:noWrap w:val="0"/>
                  <w:vAlign w:val="center"/>
                </w:tcPr>
                <w:p w14:paraId="40D402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48.2</w:t>
                  </w:r>
                </w:p>
              </w:tc>
              <w:tc>
                <w:tcPr>
                  <w:tcW w:w="810" w:type="pct"/>
                  <w:noWrap w:val="0"/>
                  <w:vAlign w:val="center"/>
                </w:tcPr>
                <w:p w14:paraId="59ACE98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482</w:t>
                  </w:r>
                </w:p>
              </w:tc>
              <w:tc>
                <w:tcPr>
                  <w:tcW w:w="569" w:type="pct"/>
                  <w:noWrap w:val="0"/>
                  <w:vAlign w:val="center"/>
                </w:tcPr>
                <w:p w14:paraId="7F4931B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c>
                <w:tcPr>
                  <w:tcW w:w="540" w:type="pct"/>
                  <w:noWrap w:val="0"/>
                  <w:vAlign w:val="center"/>
                </w:tcPr>
                <w:p w14:paraId="3766EF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r>
            <w:tr w14:paraId="59F8C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 w:type="pct"/>
                  <w:vMerge w:val="continue"/>
                  <w:noWrap w:val="0"/>
                  <w:vAlign w:val="center"/>
                </w:tcPr>
                <w:p w14:paraId="0520AE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550" w:type="pct"/>
                  <w:vMerge w:val="continue"/>
                  <w:noWrap w:val="0"/>
                  <w:vAlign w:val="center"/>
                </w:tcPr>
                <w:p w14:paraId="7626B3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681" w:type="pct"/>
                  <w:vMerge w:val="continue"/>
                  <w:noWrap w:val="0"/>
                  <w:vAlign w:val="center"/>
                </w:tcPr>
                <w:p w14:paraId="1403794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552" w:type="pct"/>
                  <w:noWrap w:val="0"/>
                  <w:vAlign w:val="center"/>
                </w:tcPr>
                <w:p w14:paraId="6CE40A6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977" w:type="pct"/>
                  <w:noWrap w:val="0"/>
                  <w:vAlign w:val="center"/>
                </w:tcPr>
                <w:p w14:paraId="17B673C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49.6</w:t>
                  </w:r>
                </w:p>
              </w:tc>
              <w:tc>
                <w:tcPr>
                  <w:tcW w:w="810" w:type="pct"/>
                  <w:noWrap w:val="0"/>
                  <w:vAlign w:val="center"/>
                </w:tcPr>
                <w:p w14:paraId="170A471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0.496</w:t>
                  </w:r>
                </w:p>
              </w:tc>
              <w:tc>
                <w:tcPr>
                  <w:tcW w:w="569" w:type="pct"/>
                  <w:shd w:val="clear" w:color="auto" w:fill="auto"/>
                  <w:noWrap w:val="0"/>
                  <w:vAlign w:val="center"/>
                </w:tcPr>
                <w:p w14:paraId="5BF5381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c>
                <w:tcPr>
                  <w:tcW w:w="540" w:type="pct"/>
                  <w:shd w:val="clear" w:color="auto" w:fill="auto"/>
                  <w:noWrap w:val="0"/>
                  <w:vAlign w:val="center"/>
                </w:tcPr>
                <w:p w14:paraId="6FEBDE8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r>
            <w:tr w14:paraId="0624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 w:type="pct"/>
                  <w:noWrap w:val="0"/>
                  <w:vAlign w:val="center"/>
                </w:tcPr>
                <w:p w14:paraId="3F4E62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w:t>
                  </w:r>
                </w:p>
              </w:tc>
              <w:tc>
                <w:tcPr>
                  <w:tcW w:w="550" w:type="pct"/>
                  <w:noWrap w:val="0"/>
                  <w:vAlign w:val="center"/>
                </w:tcPr>
                <w:p w14:paraId="5BD12FB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DA00</w:t>
                  </w:r>
                  <w:r>
                    <w:rPr>
                      <w:rFonts w:hint="eastAsia" w:ascii="Times New Roman" w:hAnsi="Times New Roman" w:cs="Times New Roman"/>
                      <w:i w:val="0"/>
                      <w:iCs w:val="0"/>
                      <w:color w:val="auto"/>
                      <w:kern w:val="0"/>
                      <w:sz w:val="21"/>
                      <w:szCs w:val="21"/>
                      <w:u w:val="none"/>
                      <w:lang w:val="en-US" w:eastAsia="zh-CN" w:bidi="ar"/>
                    </w:rPr>
                    <w:t>2</w:t>
                  </w:r>
                </w:p>
              </w:tc>
              <w:tc>
                <w:tcPr>
                  <w:tcW w:w="681" w:type="pct"/>
                  <w:vMerge w:val="continue"/>
                  <w:noWrap w:val="0"/>
                  <w:vAlign w:val="center"/>
                </w:tcPr>
                <w:p w14:paraId="23C14E8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552" w:type="pct"/>
                  <w:shd w:val="clear" w:color="auto" w:fill="auto"/>
                  <w:noWrap w:val="0"/>
                  <w:vAlign w:val="center"/>
                </w:tcPr>
                <w:p w14:paraId="7B0ACB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颗粒物</w:t>
                  </w:r>
                </w:p>
              </w:tc>
              <w:tc>
                <w:tcPr>
                  <w:tcW w:w="977" w:type="pct"/>
                  <w:shd w:val="clear" w:color="auto" w:fill="auto"/>
                  <w:noWrap w:val="0"/>
                  <w:vAlign w:val="center"/>
                </w:tcPr>
                <w:p w14:paraId="0F4193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11</w:t>
                  </w:r>
                </w:p>
              </w:tc>
              <w:tc>
                <w:tcPr>
                  <w:tcW w:w="810" w:type="pct"/>
                  <w:shd w:val="clear" w:color="auto" w:fill="auto"/>
                  <w:noWrap w:val="0"/>
                  <w:vAlign w:val="center"/>
                </w:tcPr>
                <w:p w14:paraId="4785887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0.02</w:t>
                  </w:r>
                </w:p>
              </w:tc>
              <w:tc>
                <w:tcPr>
                  <w:tcW w:w="569" w:type="pct"/>
                  <w:shd w:val="clear" w:color="auto" w:fill="auto"/>
                  <w:noWrap w:val="0"/>
                  <w:vAlign w:val="center"/>
                </w:tcPr>
                <w:p w14:paraId="4B9B585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c>
                <w:tcPr>
                  <w:tcW w:w="540" w:type="pct"/>
                  <w:shd w:val="clear" w:color="auto" w:fill="auto"/>
                  <w:noWrap w:val="0"/>
                  <w:vAlign w:val="center"/>
                </w:tcPr>
                <w:p w14:paraId="21C3CF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1</w:t>
                  </w:r>
                </w:p>
              </w:tc>
            </w:tr>
          </w:tbl>
          <w:p w14:paraId="2C06AB10">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为防止生产废气非正常工况排放，企业必须加强废气处理设施的管理，定期检修，确保废气处理设施正常运行，在废气处理设备停止运行或出现故障时，产生废气的各工序也必须相应停止生产。为杜绝废气非正常排放，应采取以下措施确保废气达标排放：</w:t>
            </w:r>
          </w:p>
          <w:p w14:paraId="13AE7692">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A、安排专人负责环保设备的日常维护和管理，</w:t>
            </w:r>
            <w:r>
              <w:rPr>
                <w:rFonts w:hint="eastAsia" w:cs="Times New Roman"/>
                <w:color w:val="auto"/>
                <w:sz w:val="24"/>
                <w:szCs w:val="24"/>
                <w:lang w:eastAsia="zh-CN"/>
              </w:rPr>
              <w:t>每隔</w:t>
            </w:r>
            <w:r>
              <w:rPr>
                <w:rFonts w:hint="default" w:ascii="Times New Roman" w:hAnsi="Times New Roman" w:cs="Times New Roman"/>
                <w:color w:val="auto"/>
                <w:sz w:val="24"/>
                <w:szCs w:val="24"/>
              </w:rPr>
              <w:t>固定时间检查、汇报情况，及时发现废气处理设备的隐患，确保废气处理系统正常运行；</w:t>
            </w:r>
          </w:p>
          <w:p w14:paraId="78058DAD">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B、建立健全的环保管理机构，对环保管理人员和技术人员进行岗位培训，委托具有专业资质的环境检测单位对项目排放的各类污染物进行定期检测；</w:t>
            </w:r>
          </w:p>
          <w:p w14:paraId="1621A8B5">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C、定期维护、检修废气处理装置，以保持废气处理装置的处理能力和处理容量。</w:t>
            </w:r>
          </w:p>
          <w:p w14:paraId="2D303D72">
            <w:pPr>
              <w:pStyle w:val="67"/>
              <w:ind w:firstLine="422"/>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3、</w:t>
            </w:r>
            <w:r>
              <w:rPr>
                <w:rFonts w:hint="default" w:ascii="Times New Roman" w:hAnsi="Times New Roman" w:eastAsia="宋体" w:cs="Times New Roman"/>
                <w:b/>
                <w:color w:val="auto"/>
                <w:sz w:val="24"/>
                <w:szCs w:val="24"/>
                <w:lang w:eastAsia="zh-CN"/>
              </w:rPr>
              <w:t>废气处理措施及依托可行性分析</w:t>
            </w:r>
          </w:p>
          <w:p w14:paraId="7BB56169">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本项目采用二级活性炭吸附装置处理</w:t>
            </w:r>
            <w:r>
              <w:rPr>
                <w:rFonts w:hint="eastAsia" w:cs="Times New Roman"/>
                <w:color w:val="auto"/>
                <w:sz w:val="24"/>
                <w:szCs w:val="24"/>
                <w:lang w:eastAsia="zh-CN"/>
              </w:rPr>
              <w:t>有机</w:t>
            </w:r>
            <w:r>
              <w:rPr>
                <w:rFonts w:hint="default" w:ascii="Times New Roman" w:hAnsi="Times New Roman" w:cs="Times New Roman"/>
                <w:color w:val="auto"/>
                <w:sz w:val="24"/>
                <w:szCs w:val="24"/>
              </w:rPr>
              <w:t>废气，属于《排污许可证申请与核发技术规范 橡胶和塑料制品工业》（HJ1122-2020）中“吸附”处理工艺，属于可行技术。</w:t>
            </w:r>
          </w:p>
          <w:p w14:paraId="5AFE032E">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表4-4  项目污染防治可行技术分析一览表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852"/>
              <w:gridCol w:w="1371"/>
              <w:gridCol w:w="1540"/>
              <w:gridCol w:w="2474"/>
              <w:gridCol w:w="669"/>
            </w:tblGrid>
            <w:tr w14:paraId="0C32E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pct"/>
                  <w:noWrap w:val="0"/>
                  <w:vAlign w:val="center"/>
                </w:tcPr>
                <w:p w14:paraId="14B9D57E">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污染源名称</w:t>
                  </w:r>
                </w:p>
              </w:tc>
              <w:tc>
                <w:tcPr>
                  <w:tcW w:w="546" w:type="pct"/>
                  <w:noWrap w:val="0"/>
                  <w:vAlign w:val="center"/>
                </w:tcPr>
                <w:p w14:paraId="4317E93E">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污染源设备</w:t>
                  </w:r>
                </w:p>
              </w:tc>
              <w:tc>
                <w:tcPr>
                  <w:tcW w:w="878" w:type="pct"/>
                  <w:noWrap w:val="0"/>
                  <w:vAlign w:val="center"/>
                </w:tcPr>
                <w:p w14:paraId="2E93667F">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主要污染物</w:t>
                  </w:r>
                </w:p>
              </w:tc>
              <w:tc>
                <w:tcPr>
                  <w:tcW w:w="987" w:type="pct"/>
                  <w:noWrap w:val="0"/>
                  <w:vAlign w:val="center"/>
                </w:tcPr>
                <w:p w14:paraId="0C7C5ED3">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可行技术</w:t>
                  </w:r>
                </w:p>
              </w:tc>
              <w:tc>
                <w:tcPr>
                  <w:tcW w:w="1586" w:type="pct"/>
                  <w:noWrap w:val="0"/>
                  <w:vAlign w:val="center"/>
                </w:tcPr>
                <w:p w14:paraId="6E33DC84">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本项目污染防治技术</w:t>
                  </w:r>
                </w:p>
              </w:tc>
              <w:tc>
                <w:tcPr>
                  <w:tcW w:w="428" w:type="pct"/>
                  <w:noWrap w:val="0"/>
                  <w:vAlign w:val="center"/>
                </w:tcPr>
                <w:p w14:paraId="3729037D">
                  <w:pPr>
                    <w:pStyle w:val="39"/>
                    <w:spacing w:beforeLines="0" w:afterLines="0" w:line="240" w:lineRule="auto"/>
                    <w:rPr>
                      <w:rFonts w:hint="default" w:ascii="Times New Roman" w:hAnsi="Times New Roman" w:cs="Times New Roman"/>
                      <w:b/>
                      <w:color w:val="auto"/>
                      <w:szCs w:val="21"/>
                      <w:lang w:val="en-US" w:eastAsia="zh-CN"/>
                    </w:rPr>
                  </w:pPr>
                  <w:r>
                    <w:rPr>
                      <w:rFonts w:hint="default" w:ascii="Times New Roman" w:hAnsi="Times New Roman" w:cs="Times New Roman"/>
                      <w:b/>
                      <w:color w:val="auto"/>
                      <w:szCs w:val="21"/>
                      <w:lang w:val="en-US" w:eastAsia="zh-CN"/>
                    </w:rPr>
                    <w:t>是否可行</w:t>
                  </w:r>
                </w:p>
              </w:tc>
            </w:tr>
            <w:tr w14:paraId="45C8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72" w:type="pct"/>
                  <w:noWrap w:val="0"/>
                  <w:vAlign w:val="center"/>
                </w:tcPr>
                <w:p w14:paraId="4AAEE698">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注塑工序</w:t>
                  </w:r>
                </w:p>
              </w:tc>
              <w:tc>
                <w:tcPr>
                  <w:tcW w:w="546" w:type="pct"/>
                  <w:noWrap w:val="0"/>
                  <w:vAlign w:val="center"/>
                </w:tcPr>
                <w:p w14:paraId="3FE85EAF">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注塑机</w:t>
                  </w:r>
                </w:p>
              </w:tc>
              <w:tc>
                <w:tcPr>
                  <w:tcW w:w="878" w:type="pct"/>
                  <w:noWrap w:val="0"/>
                  <w:vAlign w:val="center"/>
                </w:tcPr>
                <w:p w14:paraId="543927D4">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非甲烷总烃、臭气浓度</w:t>
                  </w:r>
                </w:p>
              </w:tc>
              <w:tc>
                <w:tcPr>
                  <w:tcW w:w="987" w:type="pct"/>
                  <w:vMerge w:val="restart"/>
                  <w:noWrap w:val="0"/>
                  <w:vAlign w:val="center"/>
                </w:tcPr>
                <w:p w14:paraId="7BDF2E8B">
                  <w:pPr>
                    <w:pStyle w:val="39"/>
                    <w:spacing w:beforeLines="0" w:afterLines="0"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除尘、喷淋、吸附、热力燃烧、催化燃烧、低温等离子体、UV光氧化/光催化、生物法、以上组</w:t>
                  </w:r>
                </w:p>
              </w:tc>
              <w:tc>
                <w:tcPr>
                  <w:tcW w:w="1586" w:type="pct"/>
                  <w:noWrap w:val="0"/>
                  <w:vAlign w:val="center"/>
                </w:tcPr>
                <w:p w14:paraId="2D089723">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集气罩</w:t>
                  </w:r>
                  <w:r>
                    <w:rPr>
                      <w:rFonts w:hint="default" w:ascii="Times New Roman" w:hAnsi="Times New Roman" w:eastAsia="宋体" w:cs="Times New Roman"/>
                      <w:color w:val="auto"/>
                      <w:szCs w:val="21"/>
                      <w:lang w:val="en-US" w:eastAsia="zh-CN"/>
                    </w:rPr>
                    <w:t>+</w:t>
                  </w:r>
                  <w:r>
                    <w:rPr>
                      <w:rFonts w:hint="default" w:ascii="Times New Roman" w:hAnsi="Times New Roman" w:cs="Times New Roman"/>
                      <w:bCs/>
                      <w:color w:val="auto"/>
                      <w:szCs w:val="21"/>
                      <w:lang w:val="en-US" w:eastAsia="zh-CN"/>
                    </w:rPr>
                    <w:t>二级活性炭+15m高排气筒</w:t>
                  </w:r>
                  <w:r>
                    <w:rPr>
                      <w:rFonts w:hint="eastAsia" w:ascii="Times New Roman" w:hAnsi="Times New Roman" w:cs="Times New Roman"/>
                      <w:bCs/>
                      <w:color w:val="auto"/>
                      <w:szCs w:val="21"/>
                      <w:lang w:val="en-US" w:eastAsia="zh-CN"/>
                    </w:rPr>
                    <w:t>（DA001）</w:t>
                  </w:r>
                </w:p>
              </w:tc>
              <w:tc>
                <w:tcPr>
                  <w:tcW w:w="428" w:type="pct"/>
                  <w:noWrap w:val="0"/>
                  <w:vAlign w:val="center"/>
                </w:tcPr>
                <w:p w14:paraId="0808B464">
                  <w:pPr>
                    <w:pStyle w:val="39"/>
                    <w:spacing w:beforeLines="0" w:afterLines="0" w:line="240" w:lineRule="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是</w:t>
                  </w:r>
                </w:p>
              </w:tc>
            </w:tr>
            <w:tr w14:paraId="3A1B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pct"/>
                  <w:noWrap w:val="0"/>
                  <w:vAlign w:val="center"/>
                </w:tcPr>
                <w:p w14:paraId="7022EE4B">
                  <w:pPr>
                    <w:pStyle w:val="39"/>
                    <w:spacing w:beforeLines="0" w:afterLines="0" w:line="240" w:lineRule="auto"/>
                    <w:rPr>
                      <w:rFonts w:hint="default"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喷漆晾干</w:t>
                  </w:r>
                </w:p>
              </w:tc>
              <w:tc>
                <w:tcPr>
                  <w:tcW w:w="546" w:type="pct"/>
                  <w:noWrap w:val="0"/>
                  <w:vAlign w:val="center"/>
                </w:tcPr>
                <w:p w14:paraId="233D5CAC">
                  <w:pPr>
                    <w:pStyle w:val="39"/>
                    <w:spacing w:beforeLines="0" w:afterLines="0" w:line="240" w:lineRule="auto"/>
                    <w:rPr>
                      <w:rFonts w:hint="default"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喷漆晾干房</w:t>
                  </w:r>
                </w:p>
              </w:tc>
              <w:tc>
                <w:tcPr>
                  <w:tcW w:w="878" w:type="pct"/>
                  <w:noWrap w:val="0"/>
                  <w:vAlign w:val="center"/>
                </w:tcPr>
                <w:p w14:paraId="4C8410C2">
                  <w:pPr>
                    <w:pStyle w:val="39"/>
                    <w:spacing w:beforeLines="0" w:afterLines="0" w:line="240" w:lineRule="auto"/>
                    <w:rPr>
                      <w:rFonts w:hint="default"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非甲烷总烃、颗粒物</w:t>
                  </w:r>
                </w:p>
              </w:tc>
              <w:tc>
                <w:tcPr>
                  <w:tcW w:w="987" w:type="pct"/>
                  <w:vMerge w:val="continue"/>
                  <w:shd w:val="clear" w:color="auto" w:fill="auto"/>
                  <w:noWrap w:val="0"/>
                  <w:vAlign w:val="center"/>
                </w:tcPr>
                <w:p w14:paraId="43BC458B">
                  <w:pPr>
                    <w:pStyle w:val="39"/>
                    <w:spacing w:beforeLines="0" w:afterLines="0"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p>
              </w:tc>
              <w:tc>
                <w:tcPr>
                  <w:tcW w:w="1586" w:type="pct"/>
                  <w:shd w:val="clear" w:color="auto" w:fill="auto"/>
                  <w:noWrap w:val="0"/>
                  <w:vAlign w:val="center"/>
                </w:tcPr>
                <w:p w14:paraId="7C58E776">
                  <w:pPr>
                    <w:pStyle w:val="39"/>
                    <w:spacing w:beforeLines="0" w:afterLines="0"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负压收集+过滤棉+二级活性炭</w:t>
                  </w:r>
                  <w:r>
                    <w:rPr>
                      <w:rFonts w:hint="default" w:ascii="Times New Roman" w:hAnsi="Times New Roman" w:cs="Times New Roman"/>
                      <w:bCs/>
                      <w:color w:val="auto"/>
                      <w:szCs w:val="21"/>
                      <w:lang w:val="en-US" w:eastAsia="zh-CN"/>
                    </w:rPr>
                    <w:t>+15m高排气筒</w:t>
                  </w:r>
                  <w:r>
                    <w:rPr>
                      <w:rFonts w:hint="eastAsia" w:ascii="Times New Roman" w:hAnsi="Times New Roman" w:cs="Times New Roman"/>
                      <w:bCs/>
                      <w:color w:val="auto"/>
                      <w:szCs w:val="21"/>
                      <w:lang w:val="en-US" w:eastAsia="zh-CN"/>
                    </w:rPr>
                    <w:t>（DA001）</w:t>
                  </w:r>
                </w:p>
              </w:tc>
              <w:tc>
                <w:tcPr>
                  <w:tcW w:w="428" w:type="pct"/>
                  <w:shd w:val="clear" w:color="auto" w:fill="auto"/>
                  <w:noWrap w:val="0"/>
                  <w:vAlign w:val="center"/>
                </w:tcPr>
                <w:p w14:paraId="2B0FF2CB">
                  <w:pPr>
                    <w:pStyle w:val="39"/>
                    <w:spacing w:beforeLines="0" w:afterLines="0" w:line="240" w:lineRule="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是</w:t>
                  </w:r>
                </w:p>
              </w:tc>
            </w:tr>
            <w:tr w14:paraId="2B16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pct"/>
                  <w:noWrap w:val="0"/>
                  <w:vAlign w:val="center"/>
                </w:tcPr>
                <w:p w14:paraId="0BEBA077">
                  <w:pPr>
                    <w:pStyle w:val="39"/>
                    <w:spacing w:beforeLines="0" w:afterLines="0" w:line="240" w:lineRule="auto"/>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破碎</w:t>
                  </w:r>
                </w:p>
              </w:tc>
              <w:tc>
                <w:tcPr>
                  <w:tcW w:w="546" w:type="pct"/>
                  <w:noWrap w:val="0"/>
                  <w:vAlign w:val="center"/>
                </w:tcPr>
                <w:p w14:paraId="79C66419">
                  <w:pPr>
                    <w:pStyle w:val="39"/>
                    <w:spacing w:beforeLines="0" w:afterLines="0" w:line="240" w:lineRule="auto"/>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破碎机</w:t>
                  </w:r>
                </w:p>
              </w:tc>
              <w:tc>
                <w:tcPr>
                  <w:tcW w:w="878" w:type="pct"/>
                  <w:noWrap w:val="0"/>
                  <w:vAlign w:val="center"/>
                </w:tcPr>
                <w:p w14:paraId="05335D45">
                  <w:pPr>
                    <w:pStyle w:val="39"/>
                    <w:spacing w:beforeLines="0" w:afterLines="0" w:line="240" w:lineRule="auto"/>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颗粒物</w:t>
                  </w:r>
                </w:p>
              </w:tc>
              <w:tc>
                <w:tcPr>
                  <w:tcW w:w="987" w:type="pct"/>
                  <w:vMerge w:val="continue"/>
                  <w:shd w:val="clear" w:color="auto" w:fill="auto"/>
                  <w:noWrap w:val="0"/>
                  <w:vAlign w:val="center"/>
                </w:tcPr>
                <w:p w14:paraId="5565FF77">
                  <w:pPr>
                    <w:pStyle w:val="39"/>
                    <w:spacing w:beforeLines="0" w:afterLines="0" w:line="240" w:lineRule="auto"/>
                    <w:ind w:firstLine="0" w:firstLineChars="0"/>
                    <w:jc w:val="center"/>
                    <w:rPr>
                      <w:rFonts w:hint="default" w:ascii="Times New Roman" w:hAnsi="Times New Roman" w:eastAsia="宋体" w:cs="Times New Roman"/>
                      <w:color w:val="auto"/>
                      <w:szCs w:val="21"/>
                      <w:lang w:val="en-US" w:eastAsia="zh-CN"/>
                    </w:rPr>
                  </w:pPr>
                </w:p>
              </w:tc>
              <w:tc>
                <w:tcPr>
                  <w:tcW w:w="1586" w:type="pct"/>
                  <w:shd w:val="clear" w:color="auto" w:fill="auto"/>
                  <w:noWrap w:val="0"/>
                  <w:vAlign w:val="center"/>
                </w:tcPr>
                <w:p w14:paraId="3FC443AA">
                  <w:pPr>
                    <w:pStyle w:val="39"/>
                    <w:spacing w:beforeLines="0" w:afterLines="0"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bCs/>
                      <w:color w:val="auto"/>
                      <w:szCs w:val="21"/>
                      <w:lang w:val="en-US" w:eastAsia="zh-CN"/>
                    </w:rPr>
                    <w:t>集气罩</w:t>
                  </w:r>
                  <w:r>
                    <w:rPr>
                      <w:rFonts w:hint="default" w:ascii="Times New Roman" w:hAnsi="Times New Roman" w:eastAsia="宋体" w:cs="Times New Roman"/>
                      <w:color w:val="auto"/>
                      <w:szCs w:val="21"/>
                      <w:lang w:val="en-US" w:eastAsia="zh-CN"/>
                    </w:rPr>
                    <w:t>+</w:t>
                  </w:r>
                  <w:r>
                    <w:rPr>
                      <w:rFonts w:hint="eastAsia" w:ascii="Times New Roman" w:hAnsi="Times New Roman" w:eastAsia="宋体" w:cs="Times New Roman"/>
                      <w:color w:val="auto"/>
                      <w:szCs w:val="21"/>
                      <w:lang w:val="en-US" w:eastAsia="zh-CN"/>
                    </w:rPr>
                    <w:t>布袋除尘器</w:t>
                  </w:r>
                  <w:r>
                    <w:rPr>
                      <w:rFonts w:hint="default" w:ascii="Times New Roman" w:hAnsi="Times New Roman" w:cs="Times New Roman"/>
                      <w:bCs/>
                      <w:color w:val="auto"/>
                      <w:szCs w:val="21"/>
                      <w:lang w:val="en-US" w:eastAsia="zh-CN"/>
                    </w:rPr>
                    <w:t>+15m高排气筒</w:t>
                  </w:r>
                  <w:r>
                    <w:rPr>
                      <w:rFonts w:hint="eastAsia" w:ascii="Times New Roman" w:hAnsi="Times New Roman" w:cs="Times New Roman"/>
                      <w:bCs/>
                      <w:color w:val="auto"/>
                      <w:szCs w:val="21"/>
                      <w:lang w:val="en-US" w:eastAsia="zh-CN"/>
                    </w:rPr>
                    <w:t>（DA002）</w:t>
                  </w:r>
                </w:p>
              </w:tc>
              <w:tc>
                <w:tcPr>
                  <w:tcW w:w="428" w:type="pct"/>
                  <w:shd w:val="clear" w:color="auto" w:fill="auto"/>
                  <w:noWrap w:val="0"/>
                  <w:vAlign w:val="center"/>
                </w:tcPr>
                <w:p w14:paraId="1E58B9EF">
                  <w:pPr>
                    <w:pStyle w:val="39"/>
                    <w:spacing w:beforeLines="0" w:afterLines="0" w:line="240" w:lineRule="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是</w:t>
                  </w:r>
                </w:p>
              </w:tc>
            </w:tr>
          </w:tbl>
          <w:p w14:paraId="3B326770">
            <w:pPr>
              <w:spacing w:line="360" w:lineRule="auto"/>
              <w:ind w:firstLine="480" w:firstLineChars="200"/>
              <w:jc w:val="left"/>
              <w:rPr>
                <w:rFonts w:hint="default" w:ascii="Times New Roman" w:hAnsi="Times New Roman" w:cs="Times New Roman"/>
                <w:color w:val="auto"/>
                <w:sz w:val="24"/>
              </w:rPr>
            </w:pPr>
            <w:r>
              <w:rPr>
                <w:rFonts w:hint="default" w:ascii="Times New Roman" w:hAnsi="Times New Roman" w:cs="Times New Roman"/>
                <w:color w:val="auto"/>
                <w:sz w:val="24"/>
              </w:rPr>
              <w:t>综上所述，本项目采用的废气污染防治措施符合《排污许可证申请与核发技术规范 橡胶和塑料制品工业》（HJ1122-2020）推荐的污染防治工艺。经分析可知本项目废气均可达标排放，处理方式可行。建设项目运营过程中，必须切实使用废气处理装置，以确保不发生大气污染物扰民的情况，及时更换活性炭，保障废气处理效率，确保废气能够达标排放。</w:t>
            </w:r>
          </w:p>
          <w:p w14:paraId="6D7E8A67">
            <w:pPr>
              <w:pStyle w:val="67"/>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eastAsia="zh-CN"/>
              </w:rPr>
              <w:t>注塑工序</w:t>
            </w:r>
            <w:r>
              <w:rPr>
                <w:rFonts w:hint="default" w:ascii="Times New Roman" w:hAnsi="Times New Roman" w:cs="Times New Roman"/>
                <w:color w:val="auto"/>
                <w:sz w:val="24"/>
                <w:szCs w:val="24"/>
                <w:highlight w:val="none"/>
              </w:rPr>
              <w:t>有机废气</w:t>
            </w:r>
            <w:r>
              <w:rPr>
                <w:rFonts w:hint="default" w:ascii="Times New Roman" w:hAnsi="Times New Roman" w:cs="Times New Roman"/>
                <w:color w:val="auto"/>
                <w:sz w:val="24"/>
                <w:szCs w:val="24"/>
                <w:highlight w:val="none"/>
                <w:lang w:eastAsia="zh-CN"/>
              </w:rPr>
              <w:t>、臭气浓度</w:t>
            </w:r>
            <w:r>
              <w:rPr>
                <w:rFonts w:hint="default" w:ascii="Times New Roman" w:hAnsi="Times New Roman" w:cs="Times New Roman"/>
                <w:color w:val="auto"/>
                <w:sz w:val="24"/>
                <w:szCs w:val="24"/>
                <w:highlight w:val="none"/>
              </w:rPr>
              <w:t>通过集气罩</w:t>
            </w:r>
            <w:r>
              <w:rPr>
                <w:rFonts w:hint="eastAsia" w:cs="Times New Roman"/>
                <w:color w:val="auto"/>
                <w:sz w:val="24"/>
                <w:szCs w:val="24"/>
                <w:highlight w:val="none"/>
                <w:lang w:eastAsia="zh-CN"/>
              </w:rPr>
              <w:t>收集后，与喷漆晾干工序颗粒物、有机废气经负压</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经过滤棉</w:t>
            </w:r>
            <w:r>
              <w:rPr>
                <w:rFonts w:hint="eastAsia" w:cs="Times New Roman"/>
                <w:color w:val="auto"/>
                <w:sz w:val="24"/>
                <w:szCs w:val="24"/>
                <w:highlight w:val="none"/>
                <w:lang w:val="en-US" w:eastAsia="zh-CN"/>
              </w:rPr>
              <w:t>处理后，</w:t>
            </w:r>
            <w:r>
              <w:rPr>
                <w:rFonts w:hint="eastAsia" w:cs="Times New Roman"/>
                <w:color w:val="auto"/>
                <w:sz w:val="24"/>
                <w:szCs w:val="24"/>
                <w:highlight w:val="none"/>
                <w:lang w:eastAsia="zh-CN"/>
              </w:rPr>
              <w:t>一同经</w:t>
            </w:r>
            <w:r>
              <w:rPr>
                <w:rFonts w:hint="default" w:ascii="Times New Roman" w:hAnsi="Times New Roman" w:cs="Times New Roman"/>
                <w:color w:val="auto"/>
                <w:sz w:val="24"/>
                <w:szCs w:val="24"/>
                <w:highlight w:val="none"/>
              </w:rPr>
              <w:t>二级活性炭装置处理。废气处理设施设计风量为</w:t>
            </w:r>
            <w:r>
              <w:rPr>
                <w:rFonts w:hint="eastAsia" w:cs="Times New Roman"/>
                <w:color w:val="auto"/>
                <w:sz w:val="24"/>
                <w:szCs w:val="24"/>
                <w:highlight w:val="none"/>
                <w:lang w:val="en-US" w:eastAsia="zh-CN"/>
              </w:rPr>
              <w:t>10</w:t>
            </w:r>
            <w:r>
              <w:rPr>
                <w:rFonts w:hint="default" w:ascii="Times New Roman" w:hAnsi="Times New Roman" w:cs="Times New Roman"/>
                <w:color w:val="auto"/>
                <w:sz w:val="24"/>
                <w:szCs w:val="24"/>
                <w:highlight w:val="none"/>
              </w:rPr>
              <w:t>000m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/h。</w:t>
            </w:r>
            <w:r>
              <w:rPr>
                <w:rFonts w:hint="default" w:ascii="Times New Roman" w:hAnsi="Times New Roman" w:cs="Times New Roman"/>
                <w:color w:val="auto"/>
                <w:sz w:val="24"/>
                <w:szCs w:val="24"/>
                <w:highlight w:val="none"/>
                <w:lang w:eastAsia="zh-CN"/>
              </w:rPr>
              <w:t>则</w:t>
            </w:r>
            <w:r>
              <w:rPr>
                <w:rFonts w:hint="default" w:ascii="Times New Roman" w:hAnsi="Times New Roman" w:cs="Times New Roman"/>
                <w:color w:val="auto"/>
                <w:sz w:val="24"/>
                <w:szCs w:val="24"/>
                <w:highlight w:val="none"/>
              </w:rPr>
              <w:t>活性炭过滤面积的需求约为</w:t>
            </w:r>
            <w:r>
              <w:rPr>
                <w:rFonts w:hint="eastAsia" w:cs="Times New Roman"/>
                <w:color w:val="auto"/>
                <w:sz w:val="24"/>
                <w:szCs w:val="24"/>
                <w:highlight w:val="none"/>
                <w:lang w:val="en-US" w:eastAsia="zh-CN"/>
              </w:rPr>
              <w:t>2.4</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活性炭箱尺寸为</w:t>
            </w:r>
            <w:r>
              <w:rPr>
                <w:rFonts w:hint="eastAsia" w:cs="Times New Roman"/>
                <w:color w:val="auto"/>
                <w:sz w:val="24"/>
                <w:szCs w:val="24"/>
                <w:highlight w:val="none"/>
                <w:lang w:val="en-US" w:eastAsia="zh-CN"/>
              </w:rPr>
              <w:t>1.8×1.2</w:t>
            </w:r>
            <w:r>
              <w:rPr>
                <w:rFonts w:hint="default" w:ascii="Times New Roman" w:hAnsi="Times New Roman" w:cs="Times New Roman"/>
                <w:color w:val="auto"/>
                <w:sz w:val="24"/>
                <w:szCs w:val="24"/>
                <w:highlight w:val="none"/>
                <w:lang w:val="en-US" w:eastAsia="zh-CN"/>
              </w:rPr>
              <w:t>m，装填量约为</w:t>
            </w:r>
            <w:r>
              <w:rPr>
                <w:rFonts w:hint="eastAsia" w:cs="Times New Roman"/>
                <w:color w:val="auto"/>
                <w:sz w:val="24"/>
                <w:szCs w:val="24"/>
                <w:highlight w:val="none"/>
                <w:lang w:val="en-US" w:eastAsia="zh-CN"/>
              </w:rPr>
              <w:t>500</w:t>
            </w:r>
            <w:r>
              <w:rPr>
                <w:rFonts w:hint="default" w:ascii="Times New Roman" w:hAnsi="Times New Roman" w:cs="Times New Roman"/>
                <w:color w:val="auto"/>
                <w:sz w:val="24"/>
                <w:szCs w:val="24"/>
                <w:highlight w:val="none"/>
                <w:lang w:val="en-US" w:eastAsia="zh-CN"/>
              </w:rPr>
              <w:t>kg，</w:t>
            </w:r>
            <w:r>
              <w:rPr>
                <w:rFonts w:hint="eastAsia" w:cs="Times New Roman"/>
                <w:color w:val="auto"/>
                <w:sz w:val="24"/>
                <w:szCs w:val="24"/>
                <w:highlight w:val="none"/>
                <w:lang w:val="en-US" w:eastAsia="zh-CN"/>
              </w:rPr>
              <w:t>碘值为800mg/g，</w:t>
            </w:r>
            <w:r>
              <w:rPr>
                <w:rFonts w:hint="default" w:ascii="Times New Roman" w:hAnsi="Times New Roman" w:cs="Times New Roman"/>
                <w:color w:val="auto"/>
                <w:sz w:val="24"/>
                <w:szCs w:val="24"/>
                <w:highlight w:val="none"/>
              </w:rPr>
              <w:t>过滤风速为</w:t>
            </w:r>
            <w:r>
              <w:rPr>
                <w:rFonts w:hint="eastAsia" w:cs="Times New Roman"/>
                <w:color w:val="auto"/>
                <w:sz w:val="24"/>
                <w:szCs w:val="24"/>
                <w:highlight w:val="none"/>
                <w:lang w:val="en-US" w:eastAsia="zh-CN"/>
              </w:rPr>
              <w:t>1.16</w:t>
            </w:r>
            <w:r>
              <w:rPr>
                <w:rFonts w:hint="default" w:ascii="Times New Roman" w:hAnsi="Times New Roman" w:cs="Times New Roman"/>
                <w:color w:val="auto"/>
                <w:sz w:val="24"/>
                <w:szCs w:val="24"/>
                <w:highlight w:val="none"/>
              </w:rPr>
              <w:t>m/s。</w:t>
            </w:r>
          </w:p>
          <w:p w14:paraId="320A3DAF">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本项目废气处理设施均采用</w:t>
            </w:r>
            <w:r>
              <w:rPr>
                <w:rFonts w:hint="eastAsia" w:cs="Times New Roman"/>
                <w:color w:val="auto"/>
                <w:sz w:val="24"/>
                <w:szCs w:val="24"/>
                <w:lang w:eastAsia="zh-CN"/>
              </w:rPr>
              <w:t>蜂窝</w:t>
            </w:r>
            <w:r>
              <w:rPr>
                <w:rFonts w:hint="default" w:ascii="Times New Roman" w:hAnsi="Times New Roman" w:cs="Times New Roman"/>
                <w:color w:val="auto"/>
                <w:sz w:val="24"/>
                <w:szCs w:val="24"/>
              </w:rPr>
              <w:t>状活性炭，风速均满足《吸附法工业有机废气治理工程技术规范》（HJ2026-2013）中6.3.3.3中采用</w:t>
            </w:r>
            <w:r>
              <w:rPr>
                <w:rFonts w:hint="eastAsia" w:cs="Times New Roman"/>
                <w:color w:val="auto"/>
                <w:sz w:val="24"/>
                <w:szCs w:val="24"/>
                <w:lang w:eastAsia="zh-CN"/>
              </w:rPr>
              <w:t>蜂窝</w:t>
            </w:r>
            <w:r>
              <w:rPr>
                <w:rFonts w:hint="default" w:ascii="Times New Roman" w:hAnsi="Times New Roman" w:cs="Times New Roman"/>
                <w:color w:val="auto"/>
                <w:sz w:val="24"/>
                <w:szCs w:val="24"/>
              </w:rPr>
              <w:t>状吸附剂时，气体流速宜低于</w:t>
            </w:r>
            <w:r>
              <w:rPr>
                <w:rFonts w:hint="eastAsia" w:cs="Times New Roman"/>
                <w:color w:val="auto"/>
                <w:sz w:val="24"/>
                <w:szCs w:val="24"/>
                <w:lang w:val="en-US" w:eastAsia="zh-CN"/>
              </w:rPr>
              <w:t>1.2</w:t>
            </w:r>
            <w:r>
              <w:rPr>
                <w:rFonts w:hint="default" w:ascii="Times New Roman" w:hAnsi="Times New Roman" w:cs="Times New Roman"/>
                <w:color w:val="auto"/>
                <w:sz w:val="24"/>
                <w:szCs w:val="24"/>
              </w:rPr>
              <w:t>0m/s的要求。生产中产生的有组织废气由二级活性炭处理，每三个月更换一次，废活性炭交由有资质单位再生处置。</w:t>
            </w:r>
          </w:p>
          <w:p w14:paraId="77EB6B0B">
            <w:pPr>
              <w:pStyle w:val="67"/>
              <w:ind w:firstLine="422"/>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lang w:val="en-US" w:eastAsia="zh-CN"/>
              </w:rPr>
              <w:t>4</w:t>
            </w:r>
            <w:r>
              <w:rPr>
                <w:rFonts w:hint="default" w:ascii="Times New Roman" w:hAnsi="Times New Roman" w:eastAsia="宋体" w:cs="Times New Roman"/>
                <w:b/>
                <w:color w:val="auto"/>
                <w:sz w:val="24"/>
                <w:szCs w:val="24"/>
              </w:rPr>
              <w:t>、达标及影响分析</w:t>
            </w:r>
          </w:p>
          <w:p w14:paraId="72833535">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经过废气处理设施处理后，废气</w:t>
            </w:r>
            <w:r>
              <w:rPr>
                <w:rFonts w:hint="eastAsia" w:cs="Times New Roman"/>
                <w:color w:val="auto"/>
                <w:sz w:val="24"/>
                <w:szCs w:val="24"/>
                <w:lang w:eastAsia="zh-CN"/>
              </w:rPr>
              <w:t>非甲烷总烃</w:t>
            </w:r>
            <w:r>
              <w:rPr>
                <w:rFonts w:hint="default" w:ascii="Times New Roman" w:hAnsi="Times New Roman" w:cs="Times New Roman"/>
                <w:color w:val="auto"/>
                <w:sz w:val="24"/>
                <w:szCs w:val="24"/>
              </w:rPr>
              <w:t>有组织排放污染物能满足</w:t>
            </w:r>
            <w:r>
              <w:rPr>
                <w:rFonts w:hint="default" w:ascii="Times New Roman" w:hAnsi="Times New Roman" w:cs="Times New Roman"/>
                <w:color w:val="auto"/>
                <w:kern w:val="0"/>
                <w:sz w:val="24"/>
              </w:rPr>
              <w:t>《固定源挥发性有机物综合排放标准 第6部分：其他行业》（DB34/4812.6-2024）</w:t>
            </w:r>
            <w:r>
              <w:rPr>
                <w:rFonts w:hint="default" w:ascii="Times New Roman" w:hAnsi="Times New Roman" w:cs="Times New Roman"/>
                <w:color w:val="auto"/>
                <w:sz w:val="24"/>
                <w:szCs w:val="24"/>
              </w:rPr>
              <w:t>中排放限值，</w:t>
            </w:r>
            <w:r>
              <w:rPr>
                <w:rFonts w:hint="default" w:ascii="Times New Roman" w:hAnsi="Times New Roman" w:cs="Times New Roman"/>
                <w:color w:val="auto"/>
                <w:sz w:val="24"/>
                <w:szCs w:val="24"/>
                <w:lang w:val="en-US" w:eastAsia="zh-CN"/>
              </w:rPr>
              <w:t>颗粒物</w:t>
            </w:r>
            <w:r>
              <w:rPr>
                <w:rFonts w:hint="default" w:ascii="Times New Roman" w:hAnsi="Times New Roman" w:cs="Times New Roman"/>
                <w:color w:val="auto"/>
                <w:sz w:val="24"/>
                <w:szCs w:val="24"/>
              </w:rPr>
              <w:t>排放污染物能满足</w:t>
            </w:r>
            <w:r>
              <w:rPr>
                <w:rFonts w:hint="default" w:ascii="Times New Roman" w:hAnsi="Times New Roman" w:cs="Times New Roman"/>
                <w:color w:val="auto"/>
                <w:sz w:val="24"/>
                <w:szCs w:val="24"/>
                <w:lang w:val="en-US" w:eastAsia="zh-CN"/>
              </w:rPr>
              <w:t>《合成树脂工业污染物综合排放标准》(GB31572-2015)</w:t>
            </w:r>
            <w:r>
              <w:rPr>
                <w:rFonts w:hint="eastAsia" w:cs="Times New Roman"/>
                <w:color w:val="auto"/>
                <w:sz w:val="24"/>
                <w:szCs w:val="24"/>
                <w:lang w:val="en-US" w:eastAsia="zh-CN"/>
              </w:rPr>
              <w:t>，</w:t>
            </w:r>
            <w:r>
              <w:rPr>
                <w:rFonts w:hint="default" w:ascii="Times New Roman" w:hAnsi="Times New Roman" w:cs="Times New Roman"/>
                <w:color w:val="auto"/>
                <w:sz w:val="24"/>
                <w:szCs w:val="24"/>
              </w:rPr>
              <w:t>本项目产生的废气污染物在采取上述处理措施后可以实现达标排放，对周围环境影响较小。</w:t>
            </w:r>
          </w:p>
          <w:p w14:paraId="56552638">
            <w:pPr>
              <w:pStyle w:val="67"/>
              <w:ind w:firstLine="422"/>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5、废气监测计划</w:t>
            </w:r>
          </w:p>
          <w:p w14:paraId="30E52D38">
            <w:pPr>
              <w:pStyle w:val="67"/>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参照《排污单位自行监测技术指南 橡胶和塑料制品》（HJ1207-2021）、《排污许可证申请与核发技术规范 橡胶和塑料制品工业》（HJ1122-2020））</w:t>
            </w:r>
            <w:r>
              <w:rPr>
                <w:rFonts w:hint="eastAsia" w:cs="Times New Roman"/>
                <w:color w:val="auto"/>
                <w:sz w:val="24"/>
                <w:szCs w:val="24"/>
                <w:lang w:eastAsia="zh-CN"/>
              </w:rPr>
              <w:t>、</w:t>
            </w:r>
            <w:r>
              <w:rPr>
                <w:rFonts w:hint="default" w:ascii="Times New Roman" w:hAnsi="Times New Roman" w:cs="Times New Roman"/>
                <w:color w:val="auto"/>
                <w:sz w:val="24"/>
                <w:szCs w:val="24"/>
              </w:rPr>
              <w:t>《排污单位自行监测技术指南 总则》（HJ819-2017）中规定，本项目废气监测计划执行如下。</w:t>
            </w:r>
          </w:p>
          <w:p w14:paraId="33ADEF8D">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表4-5  项目运营期废气监测计划表</w:t>
            </w:r>
          </w:p>
          <w:tbl>
            <w:tblPr>
              <w:tblStyle w:val="2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050"/>
              <w:gridCol w:w="2003"/>
              <w:gridCol w:w="1095"/>
              <w:gridCol w:w="2880"/>
            </w:tblGrid>
            <w:tr w14:paraId="3FB0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492" w:type="pct"/>
                  <w:noWrap w:val="0"/>
                  <w:vAlign w:val="center"/>
                </w:tcPr>
                <w:p w14:paraId="1AF0317C">
                  <w:pPr>
                    <w:pStyle w:val="39"/>
                    <w:spacing w:beforeLines="0" w:afterLines="0" w:line="240" w:lineRule="auto"/>
                    <w:rPr>
                      <w:rFonts w:hint="default" w:ascii="Times New Roman" w:hAnsi="Times New Roman" w:cs="Times New Roman"/>
                      <w:b/>
                      <w:bCs w:val="0"/>
                      <w:color w:val="auto"/>
                      <w:szCs w:val="21"/>
                      <w:lang w:val="en-US" w:eastAsia="zh-CN"/>
                    </w:rPr>
                  </w:pPr>
                  <w:r>
                    <w:rPr>
                      <w:rFonts w:hint="default" w:ascii="Times New Roman" w:hAnsi="Times New Roman" w:cs="Times New Roman"/>
                      <w:b/>
                      <w:bCs w:val="0"/>
                      <w:color w:val="auto"/>
                      <w:szCs w:val="21"/>
                      <w:lang w:val="en-US" w:eastAsia="zh-CN"/>
                    </w:rPr>
                    <w:t>类别</w:t>
                  </w:r>
                </w:p>
              </w:tc>
              <w:tc>
                <w:tcPr>
                  <w:tcW w:w="673" w:type="pct"/>
                  <w:noWrap w:val="0"/>
                  <w:vAlign w:val="center"/>
                </w:tcPr>
                <w:p w14:paraId="534A99DF">
                  <w:pPr>
                    <w:pStyle w:val="39"/>
                    <w:spacing w:beforeLines="0" w:afterLines="0" w:line="240" w:lineRule="auto"/>
                    <w:rPr>
                      <w:rFonts w:hint="default" w:ascii="Times New Roman" w:hAnsi="Times New Roman" w:cs="Times New Roman"/>
                      <w:b/>
                      <w:bCs w:val="0"/>
                      <w:color w:val="auto"/>
                      <w:szCs w:val="21"/>
                      <w:lang w:val="en-US" w:eastAsia="zh-CN"/>
                    </w:rPr>
                  </w:pPr>
                  <w:r>
                    <w:rPr>
                      <w:rFonts w:hint="default" w:ascii="Times New Roman" w:hAnsi="Times New Roman" w:cs="Times New Roman"/>
                      <w:b/>
                      <w:bCs w:val="0"/>
                      <w:color w:val="auto"/>
                      <w:szCs w:val="21"/>
                      <w:lang w:val="en-US" w:eastAsia="zh-CN"/>
                    </w:rPr>
                    <w:t>监测点位</w:t>
                  </w:r>
                </w:p>
              </w:tc>
              <w:tc>
                <w:tcPr>
                  <w:tcW w:w="1284" w:type="pct"/>
                  <w:noWrap w:val="0"/>
                  <w:vAlign w:val="center"/>
                </w:tcPr>
                <w:p w14:paraId="3E5A2A71">
                  <w:pPr>
                    <w:pStyle w:val="39"/>
                    <w:spacing w:beforeLines="0" w:afterLines="0" w:line="240" w:lineRule="auto"/>
                    <w:rPr>
                      <w:rFonts w:hint="default" w:ascii="Times New Roman" w:hAnsi="Times New Roman" w:cs="Times New Roman"/>
                      <w:b/>
                      <w:bCs w:val="0"/>
                      <w:color w:val="auto"/>
                      <w:szCs w:val="21"/>
                      <w:lang w:val="en-US" w:eastAsia="zh-CN"/>
                    </w:rPr>
                  </w:pPr>
                  <w:r>
                    <w:rPr>
                      <w:rFonts w:hint="default" w:ascii="Times New Roman" w:hAnsi="Times New Roman" w:cs="Times New Roman"/>
                      <w:b/>
                      <w:bCs w:val="0"/>
                      <w:color w:val="auto"/>
                      <w:szCs w:val="21"/>
                      <w:lang w:val="en-US" w:eastAsia="zh-CN"/>
                    </w:rPr>
                    <w:t>监测因子</w:t>
                  </w:r>
                </w:p>
              </w:tc>
              <w:tc>
                <w:tcPr>
                  <w:tcW w:w="702" w:type="pct"/>
                  <w:noWrap w:val="0"/>
                  <w:vAlign w:val="center"/>
                </w:tcPr>
                <w:p w14:paraId="42A4E9BA">
                  <w:pPr>
                    <w:pStyle w:val="39"/>
                    <w:spacing w:beforeLines="0" w:afterLines="0" w:line="240" w:lineRule="auto"/>
                    <w:rPr>
                      <w:rFonts w:hint="default" w:ascii="Times New Roman" w:hAnsi="Times New Roman" w:cs="Times New Roman"/>
                      <w:b/>
                      <w:bCs w:val="0"/>
                      <w:color w:val="auto"/>
                      <w:szCs w:val="21"/>
                      <w:lang w:val="en-US" w:eastAsia="zh-CN"/>
                    </w:rPr>
                  </w:pPr>
                  <w:r>
                    <w:rPr>
                      <w:rFonts w:hint="default" w:ascii="Times New Roman" w:hAnsi="Times New Roman" w:cs="Times New Roman"/>
                      <w:b/>
                      <w:bCs w:val="0"/>
                      <w:color w:val="auto"/>
                      <w:szCs w:val="21"/>
                      <w:lang w:val="en-US" w:eastAsia="zh-CN"/>
                    </w:rPr>
                    <w:t>监测频率</w:t>
                  </w:r>
                </w:p>
              </w:tc>
              <w:tc>
                <w:tcPr>
                  <w:tcW w:w="1847" w:type="pct"/>
                  <w:noWrap w:val="0"/>
                  <w:vAlign w:val="center"/>
                </w:tcPr>
                <w:p w14:paraId="075FAFDF">
                  <w:pPr>
                    <w:pStyle w:val="39"/>
                    <w:spacing w:beforeLines="0" w:afterLines="0" w:line="240" w:lineRule="auto"/>
                    <w:rPr>
                      <w:rFonts w:hint="default" w:ascii="Times New Roman" w:hAnsi="Times New Roman" w:cs="Times New Roman"/>
                      <w:b/>
                      <w:bCs w:val="0"/>
                      <w:color w:val="auto"/>
                      <w:szCs w:val="21"/>
                      <w:lang w:val="en-US" w:eastAsia="zh-CN"/>
                    </w:rPr>
                  </w:pPr>
                  <w:r>
                    <w:rPr>
                      <w:rFonts w:hint="default" w:ascii="Times New Roman" w:hAnsi="Times New Roman" w:cs="Times New Roman"/>
                      <w:b/>
                      <w:bCs w:val="0"/>
                      <w:color w:val="auto"/>
                      <w:szCs w:val="21"/>
                      <w:lang w:val="en-US" w:eastAsia="zh-CN"/>
                    </w:rPr>
                    <w:t>标准</w:t>
                  </w:r>
                </w:p>
              </w:tc>
            </w:tr>
            <w:tr w14:paraId="28724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492" w:type="pct"/>
                  <w:vMerge w:val="restart"/>
                  <w:noWrap w:val="0"/>
                  <w:vAlign w:val="center"/>
                </w:tcPr>
                <w:p w14:paraId="5EE4B7B5">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废气</w:t>
                  </w:r>
                </w:p>
              </w:tc>
              <w:tc>
                <w:tcPr>
                  <w:tcW w:w="673" w:type="pct"/>
                  <w:vMerge w:val="restart"/>
                  <w:noWrap w:val="0"/>
                  <w:vAlign w:val="center"/>
                </w:tcPr>
                <w:p w14:paraId="11189334">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DA001</w:t>
                  </w:r>
                </w:p>
              </w:tc>
              <w:tc>
                <w:tcPr>
                  <w:tcW w:w="1284" w:type="pct"/>
                  <w:noWrap w:val="0"/>
                  <w:vAlign w:val="center"/>
                </w:tcPr>
                <w:p w14:paraId="0B5BE69A">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非甲烷总烃</w:t>
                  </w:r>
                </w:p>
              </w:tc>
              <w:tc>
                <w:tcPr>
                  <w:tcW w:w="702" w:type="pct"/>
                  <w:noWrap w:val="0"/>
                  <w:vAlign w:val="center"/>
                </w:tcPr>
                <w:p w14:paraId="5A6339E0">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1次/年</w:t>
                  </w:r>
                </w:p>
              </w:tc>
              <w:tc>
                <w:tcPr>
                  <w:tcW w:w="1847" w:type="pct"/>
                  <w:vMerge w:val="restart"/>
                  <w:noWrap w:val="0"/>
                  <w:vAlign w:val="center"/>
                </w:tcPr>
                <w:p w14:paraId="781FE6D6">
                  <w:pPr>
                    <w:pStyle w:val="39"/>
                    <w:spacing w:beforeLines="0" w:afterLines="0" w:line="240" w:lineRule="auto"/>
                    <w:rPr>
                      <w:rFonts w:hint="default" w:ascii="Times New Roman" w:hAnsi="Times New Roman" w:cs="Times New Roman"/>
                      <w:bCs/>
                      <w:color w:val="auto"/>
                      <w:szCs w:val="21"/>
                      <w:lang w:val="en-GB" w:eastAsia="zh-CN"/>
                    </w:rPr>
                  </w:pPr>
                  <w:r>
                    <w:rPr>
                      <w:rFonts w:hint="default" w:ascii="Times New Roman" w:hAnsi="Times New Roman" w:cs="Times New Roman"/>
                      <w:bCs/>
                      <w:color w:val="auto"/>
                      <w:szCs w:val="21"/>
                      <w:lang w:val="en-GB" w:eastAsia="zh-CN"/>
                    </w:rPr>
                    <w:t>《固定源挥发性有机物综合排放标准 第6部分：其他行业》（DB34/ 4812.6—2024）</w:t>
                  </w:r>
                </w:p>
                <w:p w14:paraId="747E189D">
                  <w:pPr>
                    <w:pStyle w:val="39"/>
                    <w:spacing w:beforeLines="0" w:afterLines="0" w:line="240" w:lineRule="auto"/>
                    <w:rPr>
                      <w:rFonts w:hint="default"/>
                      <w:lang w:val="en-GB" w:eastAsia="zh-CN"/>
                    </w:rPr>
                  </w:pPr>
                  <w:r>
                    <w:rPr>
                      <w:rFonts w:hint="default" w:ascii="Times New Roman" w:hAnsi="Times New Roman" w:cs="Times New Roman"/>
                      <w:bCs/>
                      <w:color w:val="auto"/>
                      <w:szCs w:val="21"/>
                      <w:lang w:val="en-GB" w:eastAsia="zh-CN"/>
                    </w:rPr>
                    <w:t>《恶臭污染物排放标准》（GB14554-93）</w:t>
                  </w:r>
                </w:p>
                <w:p w14:paraId="76B5F076">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《合成树脂工业污染物综合排放标准》(GB31572-2015)表5中大气污染物特别排放限值</w:t>
                  </w:r>
                </w:p>
              </w:tc>
            </w:tr>
            <w:tr w14:paraId="73F4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492" w:type="pct"/>
                  <w:vMerge w:val="continue"/>
                  <w:noWrap w:val="0"/>
                  <w:vAlign w:val="center"/>
                </w:tcPr>
                <w:p w14:paraId="6CF8A682">
                  <w:pPr>
                    <w:pStyle w:val="39"/>
                    <w:spacing w:beforeLines="0" w:afterLines="0" w:line="240" w:lineRule="auto"/>
                    <w:rPr>
                      <w:rFonts w:hint="default" w:ascii="Times New Roman" w:hAnsi="Times New Roman" w:cs="Times New Roman"/>
                      <w:bCs/>
                      <w:color w:val="auto"/>
                      <w:szCs w:val="21"/>
                      <w:lang w:val="en-US" w:eastAsia="zh-CN"/>
                    </w:rPr>
                  </w:pPr>
                </w:p>
              </w:tc>
              <w:tc>
                <w:tcPr>
                  <w:tcW w:w="673" w:type="pct"/>
                  <w:vMerge w:val="continue"/>
                  <w:noWrap w:val="0"/>
                  <w:vAlign w:val="center"/>
                </w:tcPr>
                <w:p w14:paraId="3CC47B70">
                  <w:pPr>
                    <w:pStyle w:val="39"/>
                    <w:spacing w:beforeLines="0" w:afterLines="0" w:line="240" w:lineRule="auto"/>
                    <w:rPr>
                      <w:rFonts w:hint="default" w:ascii="Times New Roman" w:hAnsi="Times New Roman" w:cs="Times New Roman"/>
                      <w:bCs/>
                      <w:color w:val="auto"/>
                      <w:szCs w:val="21"/>
                      <w:lang w:val="en-US" w:eastAsia="zh-CN"/>
                    </w:rPr>
                  </w:pPr>
                </w:p>
              </w:tc>
              <w:tc>
                <w:tcPr>
                  <w:tcW w:w="1284" w:type="pct"/>
                  <w:noWrap w:val="0"/>
                  <w:vAlign w:val="center"/>
                </w:tcPr>
                <w:p w14:paraId="06A8B7D0">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臭气浓度</w:t>
                  </w:r>
                </w:p>
              </w:tc>
              <w:tc>
                <w:tcPr>
                  <w:tcW w:w="702" w:type="pct"/>
                  <w:noWrap w:val="0"/>
                  <w:vAlign w:val="center"/>
                </w:tcPr>
                <w:p w14:paraId="57984F89">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1次/年</w:t>
                  </w:r>
                </w:p>
              </w:tc>
              <w:tc>
                <w:tcPr>
                  <w:tcW w:w="1847" w:type="pct"/>
                  <w:vMerge w:val="continue"/>
                  <w:noWrap w:val="0"/>
                  <w:vAlign w:val="center"/>
                </w:tcPr>
                <w:p w14:paraId="695B5187">
                  <w:pPr>
                    <w:pStyle w:val="39"/>
                    <w:spacing w:beforeLines="0" w:afterLines="0" w:line="240" w:lineRule="auto"/>
                    <w:rPr>
                      <w:rFonts w:hint="default" w:ascii="Times New Roman" w:hAnsi="Times New Roman" w:cs="Times New Roman"/>
                      <w:bCs/>
                      <w:color w:val="auto"/>
                      <w:szCs w:val="21"/>
                      <w:lang w:val="en-GB" w:eastAsia="zh-CN"/>
                    </w:rPr>
                  </w:pPr>
                </w:p>
              </w:tc>
            </w:tr>
            <w:tr w14:paraId="48ED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492" w:type="pct"/>
                  <w:vMerge w:val="continue"/>
                  <w:noWrap w:val="0"/>
                  <w:vAlign w:val="center"/>
                </w:tcPr>
                <w:p w14:paraId="1A6125F2">
                  <w:pPr>
                    <w:pStyle w:val="39"/>
                    <w:spacing w:beforeLines="0" w:afterLines="0" w:line="240" w:lineRule="auto"/>
                    <w:rPr>
                      <w:rFonts w:hint="default" w:ascii="Times New Roman" w:hAnsi="Times New Roman" w:cs="Times New Roman"/>
                      <w:bCs/>
                      <w:color w:val="auto"/>
                      <w:szCs w:val="21"/>
                      <w:lang w:val="en-US" w:eastAsia="zh-CN"/>
                    </w:rPr>
                  </w:pPr>
                </w:p>
              </w:tc>
              <w:tc>
                <w:tcPr>
                  <w:tcW w:w="673" w:type="pct"/>
                  <w:vMerge w:val="continue"/>
                  <w:noWrap w:val="0"/>
                  <w:vAlign w:val="center"/>
                </w:tcPr>
                <w:p w14:paraId="5D188AD7">
                  <w:pPr>
                    <w:pStyle w:val="39"/>
                    <w:spacing w:beforeLines="0" w:afterLines="0" w:line="240" w:lineRule="auto"/>
                    <w:rPr>
                      <w:rFonts w:hint="default" w:ascii="Times New Roman" w:hAnsi="Times New Roman" w:cs="Times New Roman"/>
                      <w:bCs/>
                      <w:color w:val="auto"/>
                      <w:szCs w:val="21"/>
                      <w:lang w:val="en-US" w:eastAsia="zh-CN"/>
                    </w:rPr>
                  </w:pPr>
                </w:p>
              </w:tc>
              <w:tc>
                <w:tcPr>
                  <w:tcW w:w="1284" w:type="pct"/>
                  <w:noWrap w:val="0"/>
                  <w:vAlign w:val="center"/>
                </w:tcPr>
                <w:p w14:paraId="6ABB7979">
                  <w:pPr>
                    <w:pStyle w:val="39"/>
                    <w:spacing w:beforeLines="0" w:afterLines="0" w:line="240" w:lineRule="auto"/>
                    <w:rPr>
                      <w:rFonts w:hint="default"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颗粒物</w:t>
                  </w:r>
                </w:p>
              </w:tc>
              <w:tc>
                <w:tcPr>
                  <w:tcW w:w="702" w:type="pct"/>
                  <w:noWrap w:val="0"/>
                  <w:vAlign w:val="center"/>
                </w:tcPr>
                <w:p w14:paraId="132EE9E6">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1次/年</w:t>
                  </w:r>
                </w:p>
              </w:tc>
              <w:tc>
                <w:tcPr>
                  <w:tcW w:w="1847" w:type="pct"/>
                  <w:vMerge w:val="continue"/>
                  <w:noWrap w:val="0"/>
                  <w:vAlign w:val="center"/>
                </w:tcPr>
                <w:p w14:paraId="7AD88440">
                  <w:pPr>
                    <w:pStyle w:val="39"/>
                    <w:spacing w:beforeLines="0" w:afterLines="0" w:line="240" w:lineRule="auto"/>
                    <w:rPr>
                      <w:rFonts w:hint="default" w:ascii="Times New Roman" w:hAnsi="Times New Roman" w:cs="Times New Roman"/>
                      <w:bCs/>
                      <w:color w:val="auto"/>
                      <w:szCs w:val="21"/>
                      <w:lang w:val="en-GB" w:eastAsia="zh-CN"/>
                    </w:rPr>
                  </w:pPr>
                </w:p>
              </w:tc>
            </w:tr>
            <w:tr w14:paraId="5E9B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492" w:type="pct"/>
                  <w:vMerge w:val="continue"/>
                  <w:noWrap w:val="0"/>
                  <w:vAlign w:val="center"/>
                </w:tcPr>
                <w:p w14:paraId="51902096">
                  <w:pPr>
                    <w:pStyle w:val="39"/>
                    <w:spacing w:beforeLines="0" w:afterLines="0" w:line="240" w:lineRule="auto"/>
                    <w:rPr>
                      <w:rFonts w:hint="default" w:ascii="Times New Roman" w:hAnsi="Times New Roman" w:cs="Times New Roman"/>
                      <w:bCs/>
                      <w:color w:val="auto"/>
                      <w:szCs w:val="21"/>
                      <w:lang w:val="en-US" w:eastAsia="zh-CN"/>
                    </w:rPr>
                  </w:pPr>
                </w:p>
              </w:tc>
              <w:tc>
                <w:tcPr>
                  <w:tcW w:w="673" w:type="pct"/>
                  <w:noWrap w:val="0"/>
                  <w:vAlign w:val="center"/>
                </w:tcPr>
                <w:p w14:paraId="1C182B7B">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DA00</w:t>
                  </w:r>
                  <w:r>
                    <w:rPr>
                      <w:rFonts w:hint="eastAsia" w:ascii="Times New Roman" w:hAnsi="Times New Roman" w:cs="Times New Roman"/>
                      <w:bCs/>
                      <w:color w:val="auto"/>
                      <w:szCs w:val="21"/>
                      <w:lang w:val="en-US" w:eastAsia="zh-CN"/>
                    </w:rPr>
                    <w:t>2</w:t>
                  </w:r>
                </w:p>
              </w:tc>
              <w:tc>
                <w:tcPr>
                  <w:tcW w:w="1284" w:type="pct"/>
                  <w:shd w:val="clear" w:color="auto" w:fill="auto"/>
                  <w:noWrap w:val="0"/>
                  <w:vAlign w:val="center"/>
                </w:tcPr>
                <w:p w14:paraId="543F33A2">
                  <w:pPr>
                    <w:pStyle w:val="39"/>
                    <w:spacing w:beforeLines="0" w:afterLines="0" w:line="240" w:lineRule="auto"/>
                    <w:ind w:firstLine="0" w:firstLineChars="0"/>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cs="Times New Roman"/>
                      <w:bCs/>
                      <w:color w:val="auto"/>
                      <w:szCs w:val="21"/>
                      <w:lang w:val="en-US" w:eastAsia="zh-CN"/>
                    </w:rPr>
                    <w:t>颗粒物</w:t>
                  </w:r>
                </w:p>
              </w:tc>
              <w:tc>
                <w:tcPr>
                  <w:tcW w:w="702" w:type="pct"/>
                  <w:shd w:val="clear" w:color="auto" w:fill="auto"/>
                  <w:noWrap w:val="0"/>
                  <w:vAlign w:val="center"/>
                </w:tcPr>
                <w:p w14:paraId="30D40D44">
                  <w:pPr>
                    <w:pStyle w:val="39"/>
                    <w:spacing w:beforeLines="0" w:afterLines="0" w:line="240" w:lineRule="auto"/>
                    <w:ind w:firstLine="0" w:firstLineChars="0"/>
                    <w:rPr>
                      <w:rFonts w:hint="default" w:ascii="Times New Roman" w:hAnsi="Times New Roman" w:eastAsia="宋体" w:cs="Times New Roman"/>
                      <w:bCs/>
                      <w:color w:val="auto"/>
                      <w:kern w:val="0"/>
                      <w:sz w:val="21"/>
                      <w:szCs w:val="21"/>
                      <w:lang w:val="en-US" w:eastAsia="zh-CN" w:bidi="ar-SA"/>
                    </w:rPr>
                  </w:pPr>
                  <w:r>
                    <w:rPr>
                      <w:rFonts w:hint="default" w:ascii="Times New Roman" w:hAnsi="Times New Roman" w:cs="Times New Roman"/>
                      <w:bCs/>
                      <w:color w:val="auto"/>
                      <w:szCs w:val="21"/>
                      <w:lang w:val="en-US" w:eastAsia="zh-CN"/>
                    </w:rPr>
                    <w:t>1次/年</w:t>
                  </w:r>
                </w:p>
              </w:tc>
              <w:tc>
                <w:tcPr>
                  <w:tcW w:w="1847" w:type="pct"/>
                  <w:vMerge w:val="continue"/>
                  <w:noWrap w:val="0"/>
                  <w:vAlign w:val="center"/>
                </w:tcPr>
                <w:p w14:paraId="4BC62E1F">
                  <w:pPr>
                    <w:pStyle w:val="39"/>
                    <w:spacing w:beforeLines="0" w:afterLines="0" w:line="240" w:lineRule="auto"/>
                    <w:rPr>
                      <w:rFonts w:hint="default" w:ascii="Times New Roman" w:hAnsi="Times New Roman" w:cs="Times New Roman"/>
                      <w:bCs/>
                      <w:color w:val="auto"/>
                      <w:szCs w:val="21"/>
                      <w:lang w:val="en-GB" w:eastAsia="zh-CN"/>
                    </w:rPr>
                  </w:pPr>
                </w:p>
              </w:tc>
            </w:tr>
            <w:tr w14:paraId="6C46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7" w:hRule="atLeast"/>
              </w:trPr>
              <w:tc>
                <w:tcPr>
                  <w:tcW w:w="492" w:type="pct"/>
                  <w:vMerge w:val="continue"/>
                  <w:noWrap w:val="0"/>
                  <w:vAlign w:val="center"/>
                </w:tcPr>
                <w:p w14:paraId="621D3615">
                  <w:pPr>
                    <w:pStyle w:val="39"/>
                    <w:spacing w:beforeLines="0" w:afterLines="0" w:line="240" w:lineRule="auto"/>
                    <w:rPr>
                      <w:rFonts w:hint="default" w:ascii="Times New Roman" w:hAnsi="Times New Roman" w:cs="Times New Roman"/>
                      <w:bCs/>
                      <w:color w:val="auto"/>
                      <w:szCs w:val="21"/>
                      <w:lang w:val="en-US" w:eastAsia="zh-CN"/>
                    </w:rPr>
                  </w:pPr>
                </w:p>
              </w:tc>
              <w:tc>
                <w:tcPr>
                  <w:tcW w:w="673" w:type="pct"/>
                  <w:noWrap w:val="0"/>
                  <w:vAlign w:val="center"/>
                </w:tcPr>
                <w:p w14:paraId="4DAD1478">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厂界</w:t>
                  </w:r>
                </w:p>
              </w:tc>
              <w:tc>
                <w:tcPr>
                  <w:tcW w:w="1284" w:type="pct"/>
                  <w:noWrap w:val="0"/>
                  <w:vAlign w:val="center"/>
                </w:tcPr>
                <w:p w14:paraId="14736FF2">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非甲烷总烃</w:t>
                  </w:r>
                  <w:r>
                    <w:rPr>
                      <w:rFonts w:hint="eastAsia" w:ascii="Times New Roman" w:hAnsi="Times New Roman" w:cs="Times New Roman"/>
                      <w:bCs/>
                      <w:color w:val="auto"/>
                      <w:szCs w:val="21"/>
                      <w:lang w:val="en-US" w:eastAsia="zh-CN"/>
                    </w:rPr>
                    <w:t>、颗粒物</w:t>
                  </w:r>
                </w:p>
              </w:tc>
              <w:tc>
                <w:tcPr>
                  <w:tcW w:w="702" w:type="pct"/>
                  <w:noWrap w:val="0"/>
                  <w:vAlign w:val="center"/>
                </w:tcPr>
                <w:p w14:paraId="567E85C0">
                  <w:pPr>
                    <w:pStyle w:val="39"/>
                    <w:spacing w:beforeLines="0" w:afterLines="0" w:line="240" w:lineRule="auto"/>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1次/年</w:t>
                  </w:r>
                </w:p>
              </w:tc>
              <w:tc>
                <w:tcPr>
                  <w:tcW w:w="1847" w:type="pct"/>
                  <w:vMerge w:val="continue"/>
                  <w:noWrap w:val="0"/>
                  <w:vAlign w:val="center"/>
                </w:tcPr>
                <w:p w14:paraId="2FA7676B">
                  <w:pPr>
                    <w:pStyle w:val="39"/>
                    <w:spacing w:beforeLines="0" w:afterLines="0" w:line="240" w:lineRule="auto"/>
                    <w:rPr>
                      <w:rFonts w:hint="default" w:ascii="Times New Roman" w:hAnsi="Times New Roman" w:cs="Times New Roman"/>
                      <w:bCs/>
                      <w:color w:val="auto"/>
                      <w:szCs w:val="21"/>
                      <w:lang w:val="en-US" w:eastAsia="zh-CN"/>
                    </w:rPr>
                  </w:pPr>
                </w:p>
              </w:tc>
            </w:tr>
          </w:tbl>
          <w:p w14:paraId="6E8D1D20">
            <w:pPr>
              <w:pStyle w:val="6"/>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二、</w:t>
            </w:r>
            <w:r>
              <w:rPr>
                <w:rFonts w:hint="default" w:ascii="Times New Roman" w:hAnsi="Times New Roman" w:cs="Times New Roman"/>
                <w:color w:val="auto"/>
                <w:highlight w:val="none"/>
              </w:rPr>
              <w:t>废水</w:t>
            </w:r>
          </w:p>
          <w:p w14:paraId="59087DA7">
            <w:pPr>
              <w:pStyle w:val="67"/>
              <w:adjustRightInd/>
              <w:snapToGrid/>
              <w:ind w:firstLine="482"/>
              <w:rPr>
                <w:rFonts w:hint="default" w:ascii="Times New Roman" w:hAnsi="Times New Roman" w:eastAsia="宋体" w:cs="Times New Roman"/>
                <w:b/>
                <w:color w:val="auto"/>
                <w:szCs w:val="24"/>
                <w:lang w:val="en-US" w:eastAsia="zh-CN"/>
              </w:rPr>
            </w:pPr>
            <w:r>
              <w:rPr>
                <w:rFonts w:hint="default" w:ascii="Times New Roman" w:hAnsi="Times New Roman" w:eastAsia="宋体" w:cs="Times New Roman"/>
                <w:b/>
                <w:color w:val="auto"/>
                <w:szCs w:val="24"/>
                <w:lang w:val="en-US" w:eastAsia="zh-CN"/>
              </w:rPr>
              <w:t>1、废水源强核算</w:t>
            </w:r>
          </w:p>
          <w:p w14:paraId="2E9356F4">
            <w:pPr>
              <w:pStyle w:val="9"/>
              <w:rPr>
                <w:rFonts w:hint="default" w:ascii="Times New Roman" w:hAnsi="Times New Roman" w:cs="Times New Roman"/>
                <w:color w:val="auto"/>
                <w:highlight w:val="none"/>
              </w:rPr>
            </w:pPr>
            <w:r>
              <w:rPr>
                <w:rFonts w:hint="default" w:ascii="Times New Roman" w:hAnsi="Times New Roman" w:cs="Times New Roman"/>
                <w:color w:val="auto"/>
                <w:szCs w:val="24"/>
                <w:highlight w:val="none"/>
                <w:lang w:eastAsia="zh-CN"/>
              </w:rPr>
              <w:t>项目</w:t>
            </w:r>
            <w:r>
              <w:rPr>
                <w:rFonts w:hint="default" w:ascii="Times New Roman" w:hAnsi="Times New Roman" w:cs="Times New Roman"/>
                <w:color w:val="auto"/>
                <w:szCs w:val="24"/>
                <w:highlight w:val="none"/>
              </w:rPr>
              <w:t>运营期产生的废水</w:t>
            </w:r>
            <w:r>
              <w:rPr>
                <w:rFonts w:hint="default" w:ascii="Times New Roman" w:hAnsi="Times New Roman" w:cs="Times New Roman"/>
                <w:color w:val="auto"/>
                <w:highlight w:val="none"/>
                <w:lang w:eastAsia="zh-CN"/>
              </w:rPr>
              <w:t>仅</w:t>
            </w:r>
            <w:r>
              <w:rPr>
                <w:rFonts w:hint="default" w:ascii="Times New Roman" w:hAnsi="Times New Roman" w:cs="Times New Roman"/>
                <w:color w:val="auto"/>
                <w:highlight w:val="none"/>
              </w:rPr>
              <w:t>为生活污水</w:t>
            </w:r>
            <w:r>
              <w:rPr>
                <w:rFonts w:hint="default" w:ascii="Times New Roman" w:hAnsi="Times New Roman" w:cs="Times New Roman"/>
                <w:color w:val="auto"/>
                <w:highlight w:val="none"/>
                <w:lang w:eastAsia="zh-CN"/>
              </w:rPr>
              <w:t>与循环冷却水，无生产废水。</w:t>
            </w:r>
            <w:r>
              <w:rPr>
                <w:rFonts w:hint="default" w:ascii="Times New Roman" w:hAnsi="Times New Roman" w:cs="Times New Roman"/>
                <w:color w:val="auto"/>
                <w:highlight w:val="none"/>
                <w:lang w:val="en-US" w:eastAsia="zh-CN"/>
              </w:rPr>
              <w:t>生活污水经化粪池处理后与循环冷却水一同</w:t>
            </w:r>
            <w:r>
              <w:rPr>
                <w:rFonts w:hint="default" w:ascii="Times New Roman" w:hAnsi="Times New Roman" w:cs="Times New Roman"/>
                <w:color w:val="auto"/>
                <w:highlight w:val="none"/>
              </w:rPr>
              <w:t>通过市政污水管网排入</w:t>
            </w:r>
            <w:r>
              <w:rPr>
                <w:rFonts w:hint="default" w:ascii="Times New Roman" w:hAnsi="Times New Roman" w:cs="Times New Roman"/>
                <w:color w:val="auto"/>
                <w:highlight w:val="none"/>
                <w:lang w:val="en-US" w:eastAsia="zh-CN"/>
              </w:rPr>
              <w:t>蚌埠市第二</w:t>
            </w:r>
            <w:r>
              <w:rPr>
                <w:rFonts w:hint="default" w:ascii="Times New Roman" w:hAnsi="Times New Roman" w:cs="Times New Roman"/>
                <w:color w:val="auto"/>
                <w:highlight w:val="none"/>
                <w:lang w:eastAsia="zh-CN"/>
              </w:rPr>
              <w:t>污水处理厂</w:t>
            </w:r>
            <w:r>
              <w:rPr>
                <w:rFonts w:hint="default" w:ascii="Times New Roman" w:hAnsi="Times New Roman" w:cs="Times New Roman"/>
                <w:color w:val="auto"/>
                <w:highlight w:val="none"/>
              </w:rPr>
              <w:t>。</w:t>
            </w:r>
          </w:p>
          <w:p w14:paraId="57B53C8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4"/>
                <w:lang w:val="en-US" w:eastAsia="zh-CN" w:bidi="ar-SA"/>
                <w14:textFill>
                  <w14:solidFill>
                    <w14:schemeClr w14:val="tx1"/>
                  </w14:solidFill>
                </w14:textFill>
              </w:rPr>
              <w:t>（1）</w:t>
            </w:r>
            <w:r>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职工办公生活用水</w:t>
            </w:r>
          </w:p>
          <w:p w14:paraId="5FF42481">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cs="Times New Roman"/>
                <w:bCs/>
                <w:color w:val="auto"/>
                <w:sz w:val="24"/>
                <w:highlight w:val="none"/>
              </w:rPr>
            </w:pPr>
            <w:r>
              <w:rPr>
                <w:rFonts w:hint="default" w:ascii="Times New Roman" w:hAnsi="Times New Roman" w:cs="Times New Roman"/>
                <w:color w:val="auto"/>
                <w:sz w:val="24"/>
                <w:highlight w:val="none"/>
              </w:rPr>
              <w:t>项目</w:t>
            </w:r>
            <w:r>
              <w:rPr>
                <w:rFonts w:hint="default" w:ascii="Times New Roman" w:hAnsi="Times New Roman" w:cs="Times New Roman"/>
                <w:bCs/>
                <w:color w:val="auto"/>
                <w:sz w:val="24"/>
                <w:highlight w:val="none"/>
              </w:rPr>
              <w:t>劳动定员</w:t>
            </w:r>
            <w:r>
              <w:rPr>
                <w:rFonts w:hint="default" w:ascii="Times New Roman" w:hAnsi="Times New Roman" w:cs="Times New Roman"/>
                <w:bCs/>
                <w:color w:val="auto"/>
                <w:sz w:val="24"/>
                <w:highlight w:val="none"/>
                <w:lang w:val="en-US" w:eastAsia="zh-CN"/>
              </w:rPr>
              <w:t>40</w:t>
            </w:r>
            <w:r>
              <w:rPr>
                <w:rFonts w:hint="default" w:ascii="Times New Roman" w:hAnsi="Times New Roman" w:cs="Times New Roman"/>
                <w:bCs/>
                <w:color w:val="auto"/>
                <w:sz w:val="24"/>
                <w:highlight w:val="none"/>
              </w:rPr>
              <w:t>人，采用一班8小时工作制度，年生产300天，不设食堂及宿舍。根据《安徽省行业用水定额》（DB34/T679-20</w:t>
            </w:r>
            <w:r>
              <w:rPr>
                <w:rFonts w:hint="default" w:ascii="Times New Roman" w:hAnsi="Times New Roman" w:cs="Times New Roman"/>
                <w:bCs/>
                <w:color w:val="auto"/>
                <w:sz w:val="24"/>
                <w:highlight w:val="none"/>
                <w:lang w:val="en-US" w:eastAsia="zh-CN"/>
              </w:rPr>
              <w:t>25</w:t>
            </w:r>
            <w:r>
              <w:rPr>
                <w:rFonts w:hint="default" w:ascii="Times New Roman" w:hAnsi="Times New Roman" w:cs="Times New Roman"/>
                <w:bCs/>
                <w:color w:val="auto"/>
                <w:sz w:val="24"/>
                <w:highlight w:val="none"/>
              </w:rPr>
              <w:t>），按50L/d·人计算，厂区生活用水用量为</w:t>
            </w:r>
            <w:r>
              <w:rPr>
                <w:rFonts w:hint="default" w:ascii="Times New Roman" w:hAnsi="Times New Roman" w:cs="Times New Roman"/>
                <w:bCs/>
                <w:color w:val="auto"/>
                <w:sz w:val="24"/>
                <w:highlight w:val="none"/>
                <w:lang w:val="en-US" w:eastAsia="zh-CN"/>
              </w:rPr>
              <w:t>600</w:t>
            </w:r>
            <w:r>
              <w:rPr>
                <w:rFonts w:hint="default" w:ascii="Times New Roman" w:hAnsi="Times New Roman" w:cs="Times New Roman"/>
                <w:color w:val="auto"/>
                <w:kern w:val="0"/>
                <w:sz w:val="24"/>
                <w:szCs w:val="20"/>
                <w:highlight w:val="none"/>
              </w:rPr>
              <w:t>m</w:t>
            </w:r>
            <w:r>
              <w:rPr>
                <w:rFonts w:hint="default" w:ascii="Times New Roman" w:hAnsi="Times New Roman" w:cs="Times New Roman"/>
                <w:color w:val="auto"/>
                <w:kern w:val="0"/>
                <w:sz w:val="24"/>
                <w:szCs w:val="20"/>
                <w:highlight w:val="none"/>
                <w:vertAlign w:val="superscript"/>
              </w:rPr>
              <w:t>3</w:t>
            </w:r>
            <w:r>
              <w:rPr>
                <w:rFonts w:hint="default" w:ascii="Times New Roman" w:hAnsi="Times New Roman" w:cs="Times New Roman"/>
                <w:color w:val="auto"/>
                <w:kern w:val="0"/>
                <w:sz w:val="24"/>
                <w:szCs w:val="20"/>
                <w:highlight w:val="none"/>
              </w:rPr>
              <w:t>/a</w:t>
            </w:r>
            <w:r>
              <w:rPr>
                <w:rFonts w:hint="default" w:ascii="Times New Roman" w:hAnsi="Times New Roman" w:cs="Times New Roman"/>
                <w:bCs/>
                <w:color w:val="auto"/>
                <w:sz w:val="24"/>
                <w:highlight w:val="none"/>
              </w:rPr>
              <w:t>（2m</w:t>
            </w:r>
            <w:r>
              <w:rPr>
                <w:rFonts w:hint="default" w:ascii="Times New Roman" w:hAnsi="Times New Roman" w:cs="Times New Roman"/>
                <w:bCs/>
                <w:color w:val="auto"/>
                <w:sz w:val="24"/>
                <w:highlight w:val="none"/>
                <w:vertAlign w:val="superscript"/>
              </w:rPr>
              <w:t>3</w:t>
            </w:r>
            <w:r>
              <w:rPr>
                <w:rFonts w:hint="default" w:ascii="Times New Roman" w:hAnsi="Times New Roman" w:cs="Times New Roman"/>
                <w:bCs/>
                <w:color w:val="auto"/>
                <w:sz w:val="24"/>
                <w:highlight w:val="none"/>
              </w:rPr>
              <w:t>/d），排水系数取0.8，排水量约为</w:t>
            </w:r>
            <w:r>
              <w:rPr>
                <w:rFonts w:hint="default" w:ascii="Times New Roman" w:hAnsi="Times New Roman" w:cs="Times New Roman"/>
                <w:bCs/>
                <w:color w:val="auto"/>
                <w:sz w:val="24"/>
                <w:highlight w:val="none"/>
                <w:lang w:val="en-US" w:eastAsia="zh-CN"/>
              </w:rPr>
              <w:t>480</w:t>
            </w:r>
            <w:r>
              <w:rPr>
                <w:rFonts w:hint="default" w:ascii="Times New Roman" w:hAnsi="Times New Roman" w:cs="Times New Roman"/>
                <w:bCs/>
                <w:color w:val="auto"/>
                <w:sz w:val="24"/>
                <w:highlight w:val="none"/>
              </w:rPr>
              <w:t>m</w:t>
            </w:r>
            <w:r>
              <w:rPr>
                <w:rFonts w:hint="default" w:ascii="Times New Roman" w:hAnsi="Times New Roman" w:cs="Times New Roman"/>
                <w:bCs/>
                <w:color w:val="auto"/>
                <w:sz w:val="24"/>
                <w:highlight w:val="none"/>
                <w:vertAlign w:val="superscript"/>
              </w:rPr>
              <w:t>3</w:t>
            </w:r>
            <w:r>
              <w:rPr>
                <w:rFonts w:hint="default" w:ascii="Times New Roman" w:hAnsi="Times New Roman" w:cs="Times New Roman"/>
                <w:bCs/>
                <w:color w:val="auto"/>
                <w:sz w:val="24"/>
                <w:highlight w:val="none"/>
              </w:rPr>
              <w:t>/a（</w:t>
            </w:r>
            <w:r>
              <w:rPr>
                <w:rFonts w:hint="default" w:ascii="Times New Roman" w:hAnsi="Times New Roman" w:cs="Times New Roman"/>
                <w:bCs/>
                <w:color w:val="auto"/>
                <w:sz w:val="24"/>
                <w:highlight w:val="none"/>
                <w:lang w:val="en-US" w:eastAsia="zh-CN"/>
              </w:rPr>
              <w:t>1.6</w:t>
            </w:r>
            <w:r>
              <w:rPr>
                <w:rFonts w:hint="default" w:ascii="Times New Roman" w:hAnsi="Times New Roman" w:cs="Times New Roman"/>
                <w:bCs/>
                <w:color w:val="auto"/>
                <w:sz w:val="24"/>
                <w:highlight w:val="none"/>
              </w:rPr>
              <w:t>m</w:t>
            </w:r>
            <w:r>
              <w:rPr>
                <w:rFonts w:hint="default" w:ascii="Times New Roman" w:hAnsi="Times New Roman" w:cs="Times New Roman"/>
                <w:bCs/>
                <w:color w:val="auto"/>
                <w:sz w:val="24"/>
                <w:highlight w:val="none"/>
                <w:vertAlign w:val="superscript"/>
              </w:rPr>
              <w:t>3</w:t>
            </w:r>
            <w:r>
              <w:rPr>
                <w:rFonts w:hint="default" w:ascii="Times New Roman" w:hAnsi="Times New Roman" w:cs="Times New Roman"/>
                <w:bCs/>
                <w:color w:val="auto"/>
                <w:sz w:val="24"/>
                <w:highlight w:val="none"/>
              </w:rPr>
              <w:t>/d）。</w:t>
            </w:r>
          </w:p>
          <w:p w14:paraId="2A7D2532">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（2）循环冷却水</w:t>
            </w:r>
          </w:p>
          <w:p w14:paraId="18CC4F33">
            <w:pPr>
              <w:keepNext/>
              <w:keepLines/>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生产用水主要为循环冷却水，冷却水在塑料制品挤出生产过程中用于制品定型冷却、设备模具冷却，是不可或缺的冷媒。</w:t>
            </w:r>
            <w:r>
              <w:rPr>
                <w:rFonts w:hint="default" w:ascii="Times New Roman" w:hAnsi="Times New Roman" w:eastAsia="宋体" w:cs="Times New Roman"/>
                <w:color w:val="auto"/>
                <w:sz w:val="24"/>
                <w:highlight w:val="none"/>
                <w:lang w:val="en-US" w:eastAsia="zh-CN"/>
              </w:rPr>
              <w:t>项目</w:t>
            </w:r>
            <w:r>
              <w:rPr>
                <w:rFonts w:hint="default" w:ascii="Times New Roman" w:hAnsi="Times New Roman" w:eastAsia="宋体" w:cs="Times New Roman"/>
                <w:color w:val="auto"/>
                <w:sz w:val="24"/>
                <w:highlight w:val="none"/>
                <w:lang w:eastAsia="zh-CN"/>
              </w:rPr>
              <w:t>循环</w:t>
            </w:r>
            <w:r>
              <w:rPr>
                <w:rFonts w:hint="default" w:ascii="Times New Roman" w:hAnsi="Times New Roman" w:eastAsia="宋体" w:cs="Times New Roman"/>
                <w:color w:val="auto"/>
                <w:sz w:val="24"/>
                <w:highlight w:val="none"/>
                <w:lang w:val="en-US" w:eastAsia="zh-CN"/>
              </w:rPr>
              <w:t>冷却水通过冷却塔散热降温后自流回到循环水箱，</w:t>
            </w:r>
            <w:r>
              <w:rPr>
                <w:rFonts w:hint="default" w:ascii="Times New Roman" w:hAnsi="Times New Roman" w:eastAsia="宋体" w:cs="Times New Roman"/>
                <w:color w:val="auto"/>
                <w:sz w:val="24"/>
                <w:highlight w:val="none"/>
                <w:lang w:eastAsia="zh-CN"/>
              </w:rPr>
              <w:t>循环水箱容积为</w:t>
            </w:r>
            <w:r>
              <w:rPr>
                <w:rFonts w:hint="default" w:ascii="Times New Roman" w:hAnsi="Times New Roman" w:eastAsia="宋体" w:cs="Times New Roman"/>
                <w:color w:val="auto"/>
                <w:sz w:val="24"/>
                <w:highlight w:val="none"/>
                <w:lang w:val="en-US" w:eastAsia="zh-CN"/>
              </w:rPr>
              <w:t>10m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eastAsia="zh-CN"/>
              </w:rPr>
              <w:t>，循环水量为</w:t>
            </w:r>
            <w:r>
              <w:rPr>
                <w:rFonts w:hint="default" w:ascii="Times New Roman" w:hAnsi="Times New Roman" w:eastAsia="宋体" w:cs="Times New Roman"/>
                <w:color w:val="auto"/>
                <w:sz w:val="24"/>
                <w:highlight w:val="none"/>
                <w:lang w:val="en-US" w:eastAsia="zh-CN"/>
              </w:rPr>
              <w:t>8m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/h，</w:t>
            </w:r>
            <w:r>
              <w:rPr>
                <w:rFonts w:hint="default" w:ascii="Times New Roman" w:hAnsi="Times New Roman" w:eastAsia="宋体" w:cs="Times New Roman"/>
                <w:color w:val="auto"/>
                <w:sz w:val="24"/>
                <w:highlight w:val="none"/>
                <w:lang w:eastAsia="zh-CN"/>
              </w:rPr>
              <w:t>循环冷却水正常情况下循环使用不外排，为保持总水量不变，需补充挥发的新鲜水，同时为减少模具内壁结垢的情形，循环冷却水每</w:t>
            </w:r>
            <w:r>
              <w:rPr>
                <w:rFonts w:hint="default" w:ascii="Times New Roman" w:hAnsi="Times New Roman" w:eastAsia="宋体" w:cs="Times New Roman"/>
                <w:color w:val="auto"/>
                <w:sz w:val="24"/>
                <w:highlight w:val="none"/>
                <w:lang w:val="en-US" w:eastAsia="zh-CN"/>
              </w:rPr>
              <w:t>半年</w:t>
            </w:r>
            <w:r>
              <w:rPr>
                <w:rFonts w:hint="default" w:ascii="Times New Roman" w:hAnsi="Times New Roman" w:eastAsia="宋体" w:cs="Times New Roman"/>
                <w:color w:val="auto"/>
                <w:sz w:val="24"/>
                <w:highlight w:val="none"/>
                <w:lang w:eastAsia="zh-CN"/>
              </w:rPr>
              <w:t>更换一次新鲜水。本项目冷却水消耗量按循环水量的1</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lang w:eastAsia="zh-CN"/>
              </w:rPr>
              <w:t>%计算，则补充水量按照循环量的1</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lang w:eastAsia="zh-CN"/>
              </w:rPr>
              <w:t>%估算，</w:t>
            </w:r>
            <w:r>
              <w:rPr>
                <w:rFonts w:hint="default" w:ascii="Times New Roman" w:hAnsi="Times New Roman" w:eastAsia="宋体" w:cs="Times New Roman"/>
                <w:color w:val="auto"/>
                <w:sz w:val="24"/>
                <w:highlight w:val="none"/>
              </w:rPr>
              <w:t>则补水量约为</w:t>
            </w:r>
            <w:r>
              <w:rPr>
                <w:rFonts w:hint="default" w:ascii="Times New Roman" w:hAnsi="Times New Roman" w:eastAsia="宋体" w:cs="Times New Roman"/>
                <w:color w:val="auto"/>
                <w:sz w:val="24"/>
                <w:highlight w:val="none"/>
                <w:lang w:val="en-US" w:eastAsia="zh-CN"/>
              </w:rPr>
              <w:t>6.4</w:t>
            </w:r>
            <w:r>
              <w:rPr>
                <w:rFonts w:hint="default" w:ascii="Times New Roman" w:hAnsi="Times New Roman" w:eastAsia="宋体" w:cs="Times New Roman"/>
                <w:color w:val="auto"/>
                <w:sz w:val="24"/>
                <w:highlight w:val="none"/>
              </w:rPr>
              <w:t>t/d（</w:t>
            </w:r>
            <w:r>
              <w:rPr>
                <w:rFonts w:hint="default" w:ascii="Times New Roman" w:hAnsi="Times New Roman" w:eastAsia="宋体" w:cs="Times New Roman"/>
                <w:color w:val="auto"/>
                <w:sz w:val="24"/>
                <w:highlight w:val="none"/>
                <w:lang w:val="en-US" w:eastAsia="zh-CN"/>
              </w:rPr>
              <w:t>1920</w:t>
            </w:r>
            <w:r>
              <w:rPr>
                <w:rFonts w:hint="default" w:ascii="Times New Roman" w:hAnsi="Times New Roman" w:eastAsia="宋体" w:cs="Times New Roman"/>
                <w:color w:val="auto"/>
                <w:sz w:val="24"/>
                <w:highlight w:val="none"/>
              </w:rPr>
              <w:t>t/a）</w:t>
            </w:r>
            <w:r>
              <w:rPr>
                <w:rFonts w:hint="default" w:ascii="Times New Roman" w:hAnsi="Times New Roman" w:eastAsia="宋体" w:cs="Times New Roman"/>
                <w:color w:val="auto"/>
                <w:sz w:val="24"/>
                <w:highlight w:val="none"/>
                <w:lang w:eastAsia="zh-CN"/>
              </w:rPr>
              <w:t>，间接冷却水</w:t>
            </w:r>
            <w:r>
              <w:rPr>
                <w:rFonts w:hint="default" w:ascii="Times New Roman" w:hAnsi="Times New Roman" w:eastAsia="宋体" w:cs="Times New Roman"/>
                <w:color w:val="auto"/>
                <w:sz w:val="24"/>
                <w:highlight w:val="none"/>
                <w:lang w:val="en-US" w:eastAsia="zh-CN"/>
              </w:rPr>
              <w:t>外排量约为8</w:t>
            </w:r>
            <w:r>
              <w:rPr>
                <w:rFonts w:hint="default" w:ascii="Times New Roman" w:hAnsi="Times New Roman" w:eastAsia="宋体" w:cs="Times New Roman"/>
                <w:color w:val="auto"/>
                <w:sz w:val="24"/>
                <w:highlight w:val="none"/>
                <w:lang w:eastAsia="zh-CN"/>
              </w:rPr>
              <w:t>t</w:t>
            </w:r>
            <w:r>
              <w:rPr>
                <w:rFonts w:hint="default" w:ascii="Times New Roman" w:hAnsi="Times New Roman" w:eastAsia="宋体" w:cs="Times New Roman"/>
                <w:color w:val="auto"/>
                <w:sz w:val="24"/>
                <w:highlight w:val="none"/>
                <w:lang w:val="en-US" w:eastAsia="zh-CN"/>
              </w:rPr>
              <w:t>/次（16t/a）</w:t>
            </w:r>
            <w:r>
              <w:rPr>
                <w:rFonts w:hint="default" w:ascii="Times New Roman" w:hAnsi="Times New Roman" w:eastAsia="宋体" w:cs="Times New Roman"/>
                <w:color w:val="auto"/>
                <w:sz w:val="24"/>
                <w:highlight w:val="none"/>
                <w:lang w:eastAsia="zh-CN"/>
              </w:rPr>
              <w:t>。</w:t>
            </w:r>
          </w:p>
          <w:p w14:paraId="6DC7280F">
            <w:pPr>
              <w:pStyle w:val="63"/>
              <w:keepNext w:val="0"/>
              <w:keepLines w:val="0"/>
              <w:pageBreakBefore w:val="0"/>
              <w:widowControl w:val="0"/>
              <w:kinsoku/>
              <w:wordWrap/>
              <w:overflowPunct/>
              <w:autoSpaceDN/>
              <w:bidi w:val="0"/>
              <w:spacing w:line="360" w:lineRule="auto"/>
              <w:ind w:left="0" w:leftChars="0" w:firstLine="476" w:firstLineChars="200"/>
              <w:textAlignment w:val="auto"/>
              <w:rPr>
                <w:rFonts w:hint="default" w:ascii="Times New Roman" w:hAnsi="Times New Roman" w:cs="Times New Roman"/>
                <w:color w:val="auto"/>
                <w:spacing w:val="-1"/>
              </w:rPr>
            </w:pPr>
            <w:r>
              <w:rPr>
                <w:rFonts w:hint="default" w:ascii="Times New Roman" w:hAnsi="Times New Roman" w:cs="Times New Roman"/>
                <w:color w:val="auto"/>
                <w:spacing w:val="-1"/>
              </w:rPr>
              <w:t>本项目建成后全厂废水产生和排放情况见下表。</w:t>
            </w:r>
          </w:p>
          <w:p w14:paraId="3E05DDF4">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w:t>
            </w:r>
            <w:r>
              <w:rPr>
                <w:rFonts w:hint="default" w:ascii="Times New Roman" w:hAnsi="Times New Roman" w:cs="Times New Roman"/>
                <w:b/>
                <w:color w:val="auto"/>
                <w:sz w:val="21"/>
                <w:szCs w:val="21"/>
                <w:lang w:val="en-US" w:eastAsia="zh-CN"/>
              </w:rPr>
              <w:t>6</w:t>
            </w:r>
            <w:r>
              <w:rPr>
                <w:rFonts w:hint="default" w:ascii="Times New Roman" w:hAnsi="Times New Roman" w:eastAsia="宋体" w:cs="Times New Roman"/>
                <w:b/>
                <w:color w:val="auto"/>
                <w:sz w:val="21"/>
                <w:szCs w:val="21"/>
                <w:lang w:val="en-US" w:eastAsia="zh-CN"/>
              </w:rPr>
              <w:t xml:space="preserve">  项目营运期水污染源治理设施、污染物排放量和浓度一览表</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68"/>
              <w:gridCol w:w="836"/>
              <w:gridCol w:w="1078"/>
              <w:gridCol w:w="918"/>
              <w:gridCol w:w="904"/>
              <w:gridCol w:w="1051"/>
              <w:gridCol w:w="904"/>
              <w:gridCol w:w="624"/>
            </w:tblGrid>
            <w:tr w14:paraId="29E0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458" w:type="pct"/>
                  <w:noWrap w:val="0"/>
                  <w:vAlign w:val="center"/>
                </w:tcPr>
                <w:p w14:paraId="50907FB0">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类别</w:t>
                  </w:r>
                </w:p>
              </w:tc>
              <w:tc>
                <w:tcPr>
                  <w:tcW w:w="492" w:type="pct"/>
                  <w:noWrap w:val="0"/>
                  <w:vAlign w:val="center"/>
                </w:tcPr>
                <w:p w14:paraId="516E40EE">
                  <w:pPr>
                    <w:spacing w:line="240" w:lineRule="auto"/>
                    <w:ind w:firstLine="0" w:firstLineChars="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cs="Times New Roman"/>
                      <w:b/>
                      <w:bCs w:val="0"/>
                      <w:color w:val="auto"/>
                      <w:sz w:val="21"/>
                      <w:szCs w:val="21"/>
                      <w:highlight w:val="none"/>
                      <w:lang w:eastAsia="zh-CN"/>
                    </w:rPr>
                    <w:t>废水量（</w:t>
                  </w:r>
                  <w:r>
                    <w:rPr>
                      <w:rFonts w:hint="default" w:ascii="Times New Roman" w:hAnsi="Times New Roman" w:cs="Times New Roman"/>
                      <w:b/>
                      <w:bCs w:val="0"/>
                      <w:color w:val="auto"/>
                      <w:sz w:val="21"/>
                      <w:szCs w:val="21"/>
                      <w:highlight w:val="none"/>
                      <w:lang w:val="en-US" w:eastAsia="zh-CN"/>
                    </w:rPr>
                    <w:t>t/a</w:t>
                  </w:r>
                  <w:r>
                    <w:rPr>
                      <w:rFonts w:hint="default" w:ascii="Times New Roman" w:hAnsi="Times New Roman" w:cs="Times New Roman"/>
                      <w:b/>
                      <w:bCs w:val="0"/>
                      <w:color w:val="auto"/>
                      <w:sz w:val="21"/>
                      <w:szCs w:val="21"/>
                      <w:highlight w:val="none"/>
                      <w:lang w:eastAsia="zh-CN"/>
                    </w:rPr>
                    <w:t>）</w:t>
                  </w:r>
                </w:p>
              </w:tc>
              <w:tc>
                <w:tcPr>
                  <w:tcW w:w="536" w:type="pct"/>
                  <w:noWrap w:val="0"/>
                  <w:vAlign w:val="center"/>
                </w:tcPr>
                <w:p w14:paraId="69E607CD">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污染物名称</w:t>
                  </w:r>
                </w:p>
              </w:tc>
              <w:tc>
                <w:tcPr>
                  <w:tcW w:w="690" w:type="pct"/>
                  <w:noWrap w:val="0"/>
                  <w:vAlign w:val="center"/>
                </w:tcPr>
                <w:p w14:paraId="67690F56">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产生浓度（mg/L）</w:t>
                  </w:r>
                </w:p>
              </w:tc>
              <w:tc>
                <w:tcPr>
                  <w:tcW w:w="588" w:type="pct"/>
                  <w:noWrap w:val="0"/>
                  <w:vAlign w:val="center"/>
                </w:tcPr>
                <w:p w14:paraId="7C49F56D">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产生量（t/a）</w:t>
                  </w:r>
                </w:p>
              </w:tc>
              <w:tc>
                <w:tcPr>
                  <w:tcW w:w="579" w:type="pct"/>
                  <w:noWrap w:val="0"/>
                  <w:vAlign w:val="center"/>
                </w:tcPr>
                <w:p w14:paraId="744868DA">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处理措施</w:t>
                  </w:r>
                </w:p>
              </w:tc>
              <w:tc>
                <w:tcPr>
                  <w:tcW w:w="673" w:type="pct"/>
                  <w:noWrap w:val="0"/>
                  <w:vAlign w:val="center"/>
                </w:tcPr>
                <w:p w14:paraId="315D7C61">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lang w:eastAsia="zh-CN"/>
                    </w:rPr>
                    <w:t>接管</w:t>
                  </w:r>
                  <w:r>
                    <w:rPr>
                      <w:rFonts w:hint="default" w:ascii="Times New Roman" w:hAnsi="Times New Roman" w:eastAsia="宋体" w:cs="Times New Roman"/>
                      <w:b/>
                      <w:bCs w:val="0"/>
                      <w:color w:val="auto"/>
                      <w:sz w:val="21"/>
                      <w:szCs w:val="21"/>
                      <w:highlight w:val="none"/>
                    </w:rPr>
                    <w:t>浓度（mg/L）</w:t>
                  </w:r>
                </w:p>
              </w:tc>
              <w:tc>
                <w:tcPr>
                  <w:tcW w:w="579" w:type="pct"/>
                  <w:noWrap w:val="0"/>
                  <w:vAlign w:val="center"/>
                </w:tcPr>
                <w:p w14:paraId="570D961A">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lang w:eastAsia="zh-CN"/>
                    </w:rPr>
                    <w:t>接管</w:t>
                  </w:r>
                  <w:r>
                    <w:rPr>
                      <w:rFonts w:hint="default" w:ascii="Times New Roman" w:hAnsi="Times New Roman" w:eastAsia="宋体" w:cs="Times New Roman"/>
                      <w:b/>
                      <w:bCs w:val="0"/>
                      <w:color w:val="auto"/>
                      <w:sz w:val="21"/>
                      <w:szCs w:val="21"/>
                      <w:highlight w:val="none"/>
                    </w:rPr>
                    <w:t>量（t/a）</w:t>
                  </w:r>
                </w:p>
              </w:tc>
              <w:tc>
                <w:tcPr>
                  <w:tcW w:w="400" w:type="pct"/>
                  <w:noWrap w:val="0"/>
                  <w:vAlign w:val="center"/>
                </w:tcPr>
                <w:p w14:paraId="419783BD">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w:t>
                  </w:r>
                </w:p>
                <w:p w14:paraId="1B790BD9">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方式</w:t>
                  </w:r>
                </w:p>
              </w:tc>
            </w:tr>
            <w:tr w14:paraId="7455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458" w:type="pct"/>
                  <w:vMerge w:val="restart"/>
                  <w:noWrap w:val="0"/>
                  <w:vAlign w:val="center"/>
                </w:tcPr>
                <w:p w14:paraId="02AC8828">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生活污水</w:t>
                  </w:r>
                </w:p>
              </w:tc>
              <w:tc>
                <w:tcPr>
                  <w:tcW w:w="492" w:type="pct"/>
                  <w:vMerge w:val="restart"/>
                  <w:noWrap w:val="0"/>
                  <w:vAlign w:val="center"/>
                </w:tcPr>
                <w:p w14:paraId="6B02D718">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480</w:t>
                  </w:r>
                </w:p>
              </w:tc>
              <w:tc>
                <w:tcPr>
                  <w:tcW w:w="536" w:type="pct"/>
                  <w:shd w:val="clear" w:color="auto" w:fill="auto"/>
                  <w:noWrap w:val="0"/>
                  <w:vAlign w:val="center"/>
                </w:tcPr>
                <w:p w14:paraId="2C5948F5">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rPr>
                    <w:t>COD</w:t>
                  </w:r>
                </w:p>
              </w:tc>
              <w:tc>
                <w:tcPr>
                  <w:tcW w:w="690" w:type="pct"/>
                  <w:shd w:val="clear" w:color="auto" w:fill="auto"/>
                  <w:noWrap w:val="0"/>
                  <w:vAlign w:val="center"/>
                </w:tcPr>
                <w:p w14:paraId="61A773DE">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350</w:t>
                  </w:r>
                </w:p>
              </w:tc>
              <w:tc>
                <w:tcPr>
                  <w:tcW w:w="588" w:type="pct"/>
                  <w:shd w:val="clear" w:color="auto" w:fill="auto"/>
                  <w:noWrap w:val="0"/>
                  <w:vAlign w:val="center"/>
                </w:tcPr>
                <w:p w14:paraId="2D3A6DEA">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0.168</w:t>
                  </w:r>
                </w:p>
              </w:tc>
              <w:tc>
                <w:tcPr>
                  <w:tcW w:w="579" w:type="pct"/>
                  <w:vMerge w:val="restart"/>
                  <w:noWrap w:val="0"/>
                  <w:vAlign w:val="center"/>
                </w:tcPr>
                <w:p w14:paraId="7054C042">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生活污水经化粪池处理后纳管排放</w:t>
                  </w:r>
                </w:p>
              </w:tc>
              <w:tc>
                <w:tcPr>
                  <w:tcW w:w="673" w:type="pct"/>
                  <w:shd w:val="clear" w:color="auto" w:fill="auto"/>
                  <w:noWrap w:val="0"/>
                  <w:vAlign w:val="center"/>
                </w:tcPr>
                <w:p w14:paraId="73CDB97C">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300</w:t>
                  </w:r>
                </w:p>
              </w:tc>
              <w:tc>
                <w:tcPr>
                  <w:tcW w:w="579" w:type="pct"/>
                  <w:shd w:val="clear" w:color="auto" w:fill="auto"/>
                  <w:noWrap w:val="0"/>
                  <w:vAlign w:val="center"/>
                </w:tcPr>
                <w:p w14:paraId="46B3C9AA">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0.144</w:t>
                  </w:r>
                </w:p>
              </w:tc>
              <w:tc>
                <w:tcPr>
                  <w:tcW w:w="400" w:type="pct"/>
                  <w:vMerge w:val="restart"/>
                  <w:noWrap w:val="0"/>
                  <w:vAlign w:val="center"/>
                </w:tcPr>
                <w:p w14:paraId="542C5784">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间接排放</w:t>
                  </w:r>
                </w:p>
              </w:tc>
            </w:tr>
            <w:tr w14:paraId="25C6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8" w:type="pct"/>
                  <w:vMerge w:val="continue"/>
                  <w:noWrap w:val="0"/>
                  <w:vAlign w:val="center"/>
                </w:tcPr>
                <w:p w14:paraId="69F2566A">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492" w:type="pct"/>
                  <w:vMerge w:val="continue"/>
                  <w:noWrap w:val="0"/>
                  <w:vAlign w:val="center"/>
                </w:tcPr>
                <w:p w14:paraId="3B90FAA7">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536" w:type="pct"/>
                  <w:shd w:val="clear" w:color="auto" w:fill="auto"/>
                  <w:noWrap w:val="0"/>
                  <w:vAlign w:val="center"/>
                </w:tcPr>
                <w:p w14:paraId="31CD6D4D">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rPr>
                    <w:t>BOD</w:t>
                  </w:r>
                  <w:r>
                    <w:rPr>
                      <w:rFonts w:hint="default" w:ascii="Times New Roman" w:hAnsi="Times New Roman" w:eastAsia="宋体" w:cs="Times New Roman"/>
                      <w:b w:val="0"/>
                      <w:bCs/>
                      <w:color w:val="auto"/>
                      <w:sz w:val="21"/>
                      <w:szCs w:val="21"/>
                      <w:highlight w:val="none"/>
                      <w:vertAlign w:val="subscript"/>
                    </w:rPr>
                    <w:t>5</w:t>
                  </w:r>
                </w:p>
              </w:tc>
              <w:tc>
                <w:tcPr>
                  <w:tcW w:w="690" w:type="pct"/>
                  <w:shd w:val="clear" w:color="auto" w:fill="auto"/>
                  <w:noWrap w:val="0"/>
                  <w:vAlign w:val="center"/>
                </w:tcPr>
                <w:p w14:paraId="265F2EA6">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200</w:t>
                  </w:r>
                </w:p>
              </w:tc>
              <w:tc>
                <w:tcPr>
                  <w:tcW w:w="588" w:type="pct"/>
                  <w:shd w:val="clear" w:color="auto" w:fill="auto"/>
                  <w:noWrap w:val="0"/>
                  <w:vAlign w:val="center"/>
                </w:tcPr>
                <w:p w14:paraId="6C818BB0">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0.096</w:t>
                  </w:r>
                </w:p>
              </w:tc>
              <w:tc>
                <w:tcPr>
                  <w:tcW w:w="579" w:type="pct"/>
                  <w:vMerge w:val="continue"/>
                  <w:noWrap w:val="0"/>
                  <w:vAlign w:val="center"/>
                </w:tcPr>
                <w:p w14:paraId="14CB733E">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73" w:type="pct"/>
                  <w:shd w:val="clear" w:color="auto" w:fill="auto"/>
                  <w:noWrap w:val="0"/>
                  <w:vAlign w:val="center"/>
                </w:tcPr>
                <w:p w14:paraId="1FC26A8A">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150</w:t>
                  </w:r>
                </w:p>
              </w:tc>
              <w:tc>
                <w:tcPr>
                  <w:tcW w:w="579" w:type="pct"/>
                  <w:shd w:val="clear" w:color="auto" w:fill="auto"/>
                  <w:noWrap w:val="0"/>
                  <w:vAlign w:val="center"/>
                </w:tcPr>
                <w:p w14:paraId="08803718">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0.072</w:t>
                  </w:r>
                </w:p>
              </w:tc>
              <w:tc>
                <w:tcPr>
                  <w:tcW w:w="400" w:type="pct"/>
                  <w:vMerge w:val="continue"/>
                  <w:noWrap w:val="0"/>
                  <w:vAlign w:val="center"/>
                </w:tcPr>
                <w:p w14:paraId="7933CE3C">
                  <w:pPr>
                    <w:adjustRightInd w:val="0"/>
                    <w:snapToGrid w:val="0"/>
                    <w:spacing w:line="360" w:lineRule="auto"/>
                    <w:jc w:val="center"/>
                    <w:rPr>
                      <w:rFonts w:hint="default" w:ascii="Times New Roman" w:hAnsi="Times New Roman" w:cs="Times New Roman"/>
                      <w:b/>
                      <w:bCs/>
                      <w:color w:val="auto"/>
                      <w:spacing w:val="-2"/>
                      <w:vertAlign w:val="baseline"/>
                    </w:rPr>
                  </w:pPr>
                </w:p>
              </w:tc>
            </w:tr>
            <w:tr w14:paraId="64FC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8" w:type="pct"/>
                  <w:vMerge w:val="continue"/>
                  <w:noWrap w:val="0"/>
                  <w:vAlign w:val="center"/>
                </w:tcPr>
                <w:p w14:paraId="3EE8505F">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492" w:type="pct"/>
                  <w:vMerge w:val="continue"/>
                  <w:noWrap w:val="0"/>
                  <w:vAlign w:val="center"/>
                </w:tcPr>
                <w:p w14:paraId="6DAAB0E4">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536" w:type="pct"/>
                  <w:shd w:val="clear" w:color="auto" w:fill="auto"/>
                  <w:noWrap w:val="0"/>
                  <w:vAlign w:val="center"/>
                </w:tcPr>
                <w:p w14:paraId="205BAAF9">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rPr>
                    <w:t>SS</w:t>
                  </w:r>
                </w:p>
              </w:tc>
              <w:tc>
                <w:tcPr>
                  <w:tcW w:w="690" w:type="pct"/>
                  <w:shd w:val="clear" w:color="auto" w:fill="auto"/>
                  <w:noWrap w:val="0"/>
                  <w:vAlign w:val="center"/>
                </w:tcPr>
                <w:p w14:paraId="607FE85C">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200</w:t>
                  </w:r>
                </w:p>
              </w:tc>
              <w:tc>
                <w:tcPr>
                  <w:tcW w:w="588" w:type="pct"/>
                  <w:shd w:val="clear" w:color="auto" w:fill="auto"/>
                  <w:noWrap w:val="0"/>
                  <w:vAlign w:val="center"/>
                </w:tcPr>
                <w:p w14:paraId="1A8DD033">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0.096</w:t>
                  </w:r>
                </w:p>
              </w:tc>
              <w:tc>
                <w:tcPr>
                  <w:tcW w:w="579" w:type="pct"/>
                  <w:vMerge w:val="continue"/>
                  <w:noWrap w:val="0"/>
                  <w:vAlign w:val="center"/>
                </w:tcPr>
                <w:p w14:paraId="168863BE">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73" w:type="pct"/>
                  <w:shd w:val="clear" w:color="auto" w:fill="auto"/>
                  <w:noWrap w:val="0"/>
                  <w:vAlign w:val="center"/>
                </w:tcPr>
                <w:p w14:paraId="5B759B5A">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180</w:t>
                  </w:r>
                </w:p>
              </w:tc>
              <w:tc>
                <w:tcPr>
                  <w:tcW w:w="579" w:type="pct"/>
                  <w:shd w:val="clear" w:color="auto" w:fill="auto"/>
                  <w:noWrap w:val="0"/>
                  <w:vAlign w:val="center"/>
                </w:tcPr>
                <w:p w14:paraId="584CC8D3">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0.0864</w:t>
                  </w:r>
                </w:p>
              </w:tc>
              <w:tc>
                <w:tcPr>
                  <w:tcW w:w="400" w:type="pct"/>
                  <w:vMerge w:val="continue"/>
                  <w:noWrap w:val="0"/>
                  <w:vAlign w:val="center"/>
                </w:tcPr>
                <w:p w14:paraId="0A549DA8">
                  <w:pPr>
                    <w:adjustRightInd w:val="0"/>
                    <w:snapToGrid w:val="0"/>
                    <w:spacing w:line="360" w:lineRule="auto"/>
                    <w:jc w:val="center"/>
                    <w:rPr>
                      <w:rFonts w:hint="default" w:ascii="Times New Roman" w:hAnsi="Times New Roman" w:cs="Times New Roman"/>
                      <w:b/>
                      <w:bCs/>
                      <w:color w:val="auto"/>
                      <w:spacing w:val="-2"/>
                      <w:vertAlign w:val="baseline"/>
                    </w:rPr>
                  </w:pPr>
                </w:p>
              </w:tc>
            </w:tr>
            <w:tr w14:paraId="2DA2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Merge w:val="continue"/>
                  <w:noWrap w:val="0"/>
                  <w:vAlign w:val="center"/>
                </w:tcPr>
                <w:p w14:paraId="1E193062">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492" w:type="pct"/>
                  <w:vMerge w:val="continue"/>
                  <w:noWrap w:val="0"/>
                  <w:vAlign w:val="center"/>
                </w:tcPr>
                <w:p w14:paraId="2967BF20">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536" w:type="pct"/>
                  <w:shd w:val="clear" w:color="auto" w:fill="auto"/>
                  <w:noWrap w:val="0"/>
                  <w:vAlign w:val="center"/>
                </w:tcPr>
                <w:p w14:paraId="7BCF17DB">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rPr>
                    <w:t>NH</w:t>
                  </w:r>
                  <w:r>
                    <w:rPr>
                      <w:rFonts w:hint="default" w:ascii="Times New Roman" w:hAnsi="Times New Roman" w:eastAsia="宋体" w:cs="Times New Roman"/>
                      <w:b w:val="0"/>
                      <w:bCs/>
                      <w:color w:val="auto"/>
                      <w:sz w:val="21"/>
                      <w:szCs w:val="21"/>
                      <w:highlight w:val="none"/>
                      <w:vertAlign w:val="subscript"/>
                    </w:rPr>
                    <w:t>3</w:t>
                  </w:r>
                  <w:r>
                    <w:rPr>
                      <w:rFonts w:hint="default" w:ascii="Times New Roman" w:hAnsi="Times New Roman" w:eastAsia="宋体" w:cs="Times New Roman"/>
                      <w:b w:val="0"/>
                      <w:bCs/>
                      <w:color w:val="auto"/>
                      <w:sz w:val="21"/>
                      <w:szCs w:val="21"/>
                      <w:highlight w:val="none"/>
                    </w:rPr>
                    <w:t>-N</w:t>
                  </w:r>
                </w:p>
              </w:tc>
              <w:tc>
                <w:tcPr>
                  <w:tcW w:w="690" w:type="pct"/>
                  <w:shd w:val="clear" w:color="auto" w:fill="auto"/>
                  <w:noWrap w:val="0"/>
                  <w:vAlign w:val="center"/>
                </w:tcPr>
                <w:p w14:paraId="276D3381">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30</w:t>
                  </w:r>
                </w:p>
              </w:tc>
              <w:tc>
                <w:tcPr>
                  <w:tcW w:w="588" w:type="pct"/>
                  <w:shd w:val="clear" w:color="auto" w:fill="auto"/>
                  <w:noWrap w:val="0"/>
                  <w:vAlign w:val="center"/>
                </w:tcPr>
                <w:p w14:paraId="3A30C6FF">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0.0144</w:t>
                  </w:r>
                </w:p>
              </w:tc>
              <w:tc>
                <w:tcPr>
                  <w:tcW w:w="579" w:type="pct"/>
                  <w:vMerge w:val="continue"/>
                  <w:noWrap w:val="0"/>
                  <w:vAlign w:val="center"/>
                </w:tcPr>
                <w:p w14:paraId="62ADCFCE">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73" w:type="pct"/>
                  <w:shd w:val="clear" w:color="auto" w:fill="auto"/>
                  <w:noWrap w:val="0"/>
                  <w:vAlign w:val="center"/>
                </w:tcPr>
                <w:p w14:paraId="542247EF">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30</w:t>
                  </w:r>
                </w:p>
              </w:tc>
              <w:tc>
                <w:tcPr>
                  <w:tcW w:w="579" w:type="pct"/>
                  <w:shd w:val="clear" w:color="auto" w:fill="auto"/>
                  <w:noWrap w:val="0"/>
                  <w:vAlign w:val="center"/>
                </w:tcPr>
                <w:p w14:paraId="43E7EB39">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0.0144</w:t>
                  </w:r>
                </w:p>
              </w:tc>
              <w:tc>
                <w:tcPr>
                  <w:tcW w:w="400" w:type="pct"/>
                  <w:vMerge w:val="continue"/>
                  <w:noWrap w:val="0"/>
                  <w:vAlign w:val="center"/>
                </w:tcPr>
                <w:p w14:paraId="3A65C625">
                  <w:pPr>
                    <w:adjustRightInd w:val="0"/>
                    <w:snapToGrid w:val="0"/>
                    <w:spacing w:line="360" w:lineRule="auto"/>
                    <w:jc w:val="center"/>
                    <w:rPr>
                      <w:rFonts w:hint="default" w:ascii="Times New Roman" w:hAnsi="Times New Roman" w:cs="Times New Roman"/>
                      <w:b/>
                      <w:bCs/>
                      <w:color w:val="auto"/>
                      <w:spacing w:val="-2"/>
                      <w:vertAlign w:val="baseline"/>
                    </w:rPr>
                  </w:pPr>
                </w:p>
              </w:tc>
            </w:tr>
            <w:tr w14:paraId="3A2E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58" w:type="pct"/>
                  <w:vMerge w:val="restart"/>
                  <w:noWrap w:val="0"/>
                  <w:vAlign w:val="center"/>
                </w:tcPr>
                <w:p w14:paraId="15D3B2FF">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eastAsia="zh-CN"/>
                    </w:rPr>
                    <w:t>循环冷却水</w:t>
                  </w:r>
                </w:p>
              </w:tc>
              <w:tc>
                <w:tcPr>
                  <w:tcW w:w="492" w:type="pct"/>
                  <w:vMerge w:val="restart"/>
                  <w:shd w:val="clear" w:color="auto" w:fill="auto"/>
                  <w:noWrap w:val="0"/>
                  <w:vAlign w:val="center"/>
                </w:tcPr>
                <w:p w14:paraId="2E94C35C">
                  <w:pPr>
                    <w:spacing w:line="240" w:lineRule="auto"/>
                    <w:ind w:firstLine="0" w:firstLineChars="0"/>
                    <w:jc w:val="center"/>
                    <w:rPr>
                      <w:rFonts w:hint="default" w:ascii="Times New Roman" w:hAnsi="Times New Roman"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8</w:t>
                  </w:r>
                </w:p>
              </w:tc>
              <w:tc>
                <w:tcPr>
                  <w:tcW w:w="536" w:type="pct"/>
                  <w:shd w:val="clear" w:color="auto" w:fill="auto"/>
                  <w:noWrap w:val="0"/>
                  <w:vAlign w:val="center"/>
                </w:tcPr>
                <w:p w14:paraId="73B1D0D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COD</w:t>
                  </w:r>
                </w:p>
              </w:tc>
              <w:tc>
                <w:tcPr>
                  <w:tcW w:w="690" w:type="pct"/>
                  <w:shd w:val="clear" w:color="auto" w:fill="auto"/>
                  <w:noWrap w:val="0"/>
                  <w:vAlign w:val="center"/>
                </w:tcPr>
                <w:p w14:paraId="66C0A5CA">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40</w:t>
                  </w:r>
                </w:p>
              </w:tc>
              <w:tc>
                <w:tcPr>
                  <w:tcW w:w="588" w:type="pct"/>
                  <w:shd w:val="clear" w:color="auto" w:fill="auto"/>
                  <w:noWrap w:val="0"/>
                  <w:vAlign w:val="center"/>
                </w:tcPr>
                <w:p w14:paraId="3E32E8A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0.00032</w:t>
                  </w:r>
                </w:p>
              </w:tc>
              <w:tc>
                <w:tcPr>
                  <w:tcW w:w="579" w:type="pct"/>
                  <w:vMerge w:val="restart"/>
                  <w:noWrap w:val="0"/>
                  <w:vAlign w:val="center"/>
                </w:tcPr>
                <w:p w14:paraId="0E82A329">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eastAsia="zh-CN"/>
                    </w:rPr>
                    <w:t>直排</w:t>
                  </w:r>
                </w:p>
              </w:tc>
              <w:tc>
                <w:tcPr>
                  <w:tcW w:w="673" w:type="pct"/>
                  <w:shd w:val="clear" w:color="auto" w:fill="auto"/>
                  <w:noWrap w:val="0"/>
                  <w:vAlign w:val="center"/>
                </w:tcPr>
                <w:p w14:paraId="6D5955BE">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40</w:t>
                  </w:r>
                </w:p>
              </w:tc>
              <w:tc>
                <w:tcPr>
                  <w:tcW w:w="579" w:type="pct"/>
                  <w:shd w:val="clear" w:color="auto" w:fill="auto"/>
                  <w:noWrap w:val="0"/>
                  <w:vAlign w:val="center"/>
                </w:tcPr>
                <w:p w14:paraId="34ABF9AA">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0.00032</w:t>
                  </w:r>
                </w:p>
              </w:tc>
              <w:tc>
                <w:tcPr>
                  <w:tcW w:w="400" w:type="pct"/>
                  <w:vMerge w:val="continue"/>
                  <w:noWrap w:val="0"/>
                  <w:vAlign w:val="center"/>
                </w:tcPr>
                <w:p w14:paraId="0239C164">
                  <w:pPr>
                    <w:adjustRightInd w:val="0"/>
                    <w:snapToGrid w:val="0"/>
                    <w:spacing w:line="360" w:lineRule="auto"/>
                    <w:jc w:val="center"/>
                    <w:rPr>
                      <w:rFonts w:hint="default" w:ascii="Times New Roman" w:hAnsi="Times New Roman" w:cs="Times New Roman"/>
                      <w:b/>
                      <w:bCs/>
                      <w:color w:val="auto"/>
                      <w:spacing w:val="-2"/>
                      <w:vertAlign w:val="baseline"/>
                    </w:rPr>
                  </w:pPr>
                </w:p>
              </w:tc>
            </w:tr>
            <w:tr w14:paraId="5B29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458" w:type="pct"/>
                  <w:vMerge w:val="continue"/>
                  <w:noWrap w:val="0"/>
                  <w:vAlign w:val="center"/>
                </w:tcPr>
                <w:p w14:paraId="58536EA3">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492" w:type="pct"/>
                  <w:vMerge w:val="continue"/>
                  <w:shd w:val="clear" w:color="auto" w:fill="auto"/>
                  <w:noWrap w:val="0"/>
                  <w:vAlign w:val="center"/>
                </w:tcPr>
                <w:p w14:paraId="59AFAE15">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536" w:type="pct"/>
                  <w:shd w:val="clear" w:color="auto" w:fill="auto"/>
                  <w:noWrap w:val="0"/>
                  <w:vAlign w:val="center"/>
                </w:tcPr>
                <w:p w14:paraId="1E2DF766">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SS</w:t>
                  </w:r>
                </w:p>
              </w:tc>
              <w:tc>
                <w:tcPr>
                  <w:tcW w:w="690" w:type="pct"/>
                  <w:shd w:val="clear" w:color="auto" w:fill="auto"/>
                  <w:noWrap w:val="0"/>
                  <w:vAlign w:val="center"/>
                </w:tcPr>
                <w:p w14:paraId="5F62AF60">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30</w:t>
                  </w:r>
                </w:p>
              </w:tc>
              <w:tc>
                <w:tcPr>
                  <w:tcW w:w="588" w:type="pct"/>
                  <w:noWrap w:val="0"/>
                  <w:vAlign w:val="center"/>
                </w:tcPr>
                <w:p w14:paraId="1DA42E35">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0.00024</w:t>
                  </w:r>
                </w:p>
              </w:tc>
              <w:tc>
                <w:tcPr>
                  <w:tcW w:w="579" w:type="pct"/>
                  <w:vMerge w:val="continue"/>
                  <w:noWrap w:val="0"/>
                  <w:vAlign w:val="center"/>
                </w:tcPr>
                <w:p w14:paraId="3BDD398D">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73" w:type="pct"/>
                  <w:shd w:val="clear" w:color="auto" w:fill="auto"/>
                  <w:noWrap w:val="0"/>
                  <w:vAlign w:val="center"/>
                </w:tcPr>
                <w:p w14:paraId="5F16E942">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30</w:t>
                  </w:r>
                </w:p>
              </w:tc>
              <w:tc>
                <w:tcPr>
                  <w:tcW w:w="579" w:type="pct"/>
                  <w:shd w:val="clear" w:color="auto" w:fill="auto"/>
                  <w:noWrap w:val="0"/>
                  <w:vAlign w:val="center"/>
                </w:tcPr>
                <w:p w14:paraId="3385C668">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0.00024</w:t>
                  </w:r>
                </w:p>
              </w:tc>
              <w:tc>
                <w:tcPr>
                  <w:tcW w:w="400" w:type="pct"/>
                  <w:vMerge w:val="continue"/>
                  <w:noWrap w:val="0"/>
                  <w:vAlign w:val="center"/>
                </w:tcPr>
                <w:p w14:paraId="23D5B701">
                  <w:pPr>
                    <w:adjustRightInd w:val="0"/>
                    <w:snapToGrid w:val="0"/>
                    <w:spacing w:line="360" w:lineRule="auto"/>
                    <w:jc w:val="center"/>
                    <w:rPr>
                      <w:rFonts w:hint="default" w:ascii="Times New Roman" w:hAnsi="Times New Roman" w:cs="Times New Roman"/>
                      <w:b/>
                      <w:bCs/>
                      <w:color w:val="auto"/>
                      <w:spacing w:val="-2"/>
                      <w:vertAlign w:val="baseline"/>
                    </w:rPr>
                  </w:pPr>
                </w:p>
              </w:tc>
            </w:tr>
          </w:tbl>
          <w:p w14:paraId="1BC41A62">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w:t>
            </w:r>
            <w:r>
              <w:rPr>
                <w:rFonts w:hint="default" w:ascii="Times New Roman" w:hAnsi="Times New Roman" w:cs="Times New Roman"/>
                <w:b/>
                <w:color w:val="auto"/>
                <w:sz w:val="21"/>
                <w:szCs w:val="21"/>
                <w:lang w:val="en-US" w:eastAsia="zh-CN"/>
              </w:rPr>
              <w:t>7</w:t>
            </w:r>
            <w:r>
              <w:rPr>
                <w:rFonts w:hint="default" w:ascii="Times New Roman" w:hAnsi="Times New Roman" w:eastAsia="宋体" w:cs="Times New Roman"/>
                <w:b/>
                <w:color w:val="auto"/>
                <w:sz w:val="21"/>
                <w:szCs w:val="21"/>
                <w:lang w:val="en-US" w:eastAsia="zh-CN"/>
              </w:rPr>
              <w:t xml:space="preserve">  污染物最终排放情况一览表 （pH 值无量纲）</w:t>
            </w:r>
          </w:p>
          <w:tbl>
            <w:tblPr>
              <w:tblStyle w:val="26"/>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960"/>
              <w:gridCol w:w="1042"/>
              <w:gridCol w:w="1084"/>
              <w:gridCol w:w="1260"/>
              <w:gridCol w:w="1399"/>
              <w:gridCol w:w="1152"/>
            </w:tblGrid>
            <w:tr w14:paraId="51AF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55" w:type="pct"/>
                  <w:vMerge w:val="restart"/>
                  <w:noWrap w:val="0"/>
                  <w:vAlign w:val="center"/>
                </w:tcPr>
                <w:p w14:paraId="11DE11E2">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rPr>
                    <w:t>废水类别</w:t>
                  </w:r>
                </w:p>
              </w:tc>
              <w:tc>
                <w:tcPr>
                  <w:tcW w:w="618" w:type="pct"/>
                  <w:vMerge w:val="restart"/>
                  <w:noWrap w:val="0"/>
                  <w:vAlign w:val="center"/>
                </w:tcPr>
                <w:p w14:paraId="021EAB41">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rPr>
                    <w:t>废水量（</w:t>
                  </w:r>
                  <w:r>
                    <w:rPr>
                      <w:rFonts w:hint="default" w:ascii="Times New Roman" w:hAnsi="Times New Roman" w:eastAsia="宋体" w:cs="Times New Roman"/>
                      <w:b/>
                      <w:bCs w:val="0"/>
                      <w:color w:val="auto"/>
                      <w:sz w:val="21"/>
                      <w:szCs w:val="21"/>
                      <w:highlight w:val="none"/>
                      <w:lang w:val="en-US" w:eastAsia="zh-CN"/>
                    </w:rPr>
                    <w:t>m</w:t>
                  </w:r>
                  <w:r>
                    <w:rPr>
                      <w:rFonts w:hint="default" w:ascii="Times New Roman" w:hAnsi="Times New Roman" w:eastAsia="宋体" w:cs="Times New Roman"/>
                      <w:b/>
                      <w:bCs w:val="0"/>
                      <w:color w:val="auto"/>
                      <w:sz w:val="21"/>
                      <w:szCs w:val="21"/>
                      <w:highlight w:val="none"/>
                      <w:vertAlign w:val="superscript"/>
                      <w:lang w:val="en-US" w:eastAsia="zh-CN"/>
                    </w:rPr>
                    <w:t>3</w:t>
                  </w:r>
                  <w:r>
                    <w:rPr>
                      <w:rFonts w:hint="default" w:ascii="Times New Roman" w:hAnsi="Times New Roman" w:eastAsia="宋体" w:cs="Times New Roman"/>
                      <w:b/>
                      <w:bCs w:val="0"/>
                      <w:color w:val="auto"/>
                      <w:sz w:val="21"/>
                      <w:szCs w:val="21"/>
                      <w:highlight w:val="none"/>
                    </w:rPr>
                    <w:t>/a）</w:t>
                  </w:r>
                </w:p>
              </w:tc>
              <w:tc>
                <w:tcPr>
                  <w:tcW w:w="671" w:type="pct"/>
                  <w:vMerge w:val="restart"/>
                  <w:noWrap w:val="0"/>
                  <w:vAlign w:val="center"/>
                </w:tcPr>
                <w:p w14:paraId="3DB8255D">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rPr>
                    <w:t>污染物</w:t>
                  </w:r>
                </w:p>
              </w:tc>
              <w:tc>
                <w:tcPr>
                  <w:tcW w:w="698" w:type="pct"/>
                  <w:vMerge w:val="restart"/>
                  <w:noWrap w:val="0"/>
                  <w:vAlign w:val="center"/>
                </w:tcPr>
                <w:p w14:paraId="763415E2">
                  <w:pPr>
                    <w:spacing w:line="240" w:lineRule="auto"/>
                    <w:ind w:firstLine="0" w:firstLineChars="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排放去向</w:t>
                  </w:r>
                </w:p>
              </w:tc>
              <w:tc>
                <w:tcPr>
                  <w:tcW w:w="812" w:type="pct"/>
                  <w:vMerge w:val="restart"/>
                  <w:noWrap w:val="0"/>
                  <w:vAlign w:val="center"/>
                </w:tcPr>
                <w:p w14:paraId="3AF43F6B">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lang w:eastAsia="zh-CN"/>
                    </w:rPr>
                    <w:t>排放</w:t>
                  </w:r>
                  <w:r>
                    <w:rPr>
                      <w:rFonts w:hint="default" w:ascii="Times New Roman" w:hAnsi="Times New Roman" w:eastAsia="宋体" w:cs="Times New Roman"/>
                      <w:b/>
                      <w:bCs w:val="0"/>
                      <w:color w:val="auto"/>
                      <w:sz w:val="21"/>
                      <w:szCs w:val="21"/>
                      <w:highlight w:val="none"/>
                    </w:rPr>
                    <w:t>浓度（mg/L）</w:t>
                  </w:r>
                </w:p>
              </w:tc>
              <w:tc>
                <w:tcPr>
                  <w:tcW w:w="901" w:type="pct"/>
                  <w:vMerge w:val="restart"/>
                  <w:noWrap w:val="0"/>
                  <w:vAlign w:val="center"/>
                </w:tcPr>
                <w:p w14:paraId="07634C63">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eastAsia="zh-CN"/>
                    </w:rPr>
                    <w:t>排放量</w:t>
                  </w:r>
                  <w:r>
                    <w:rPr>
                      <w:rFonts w:hint="default" w:ascii="Times New Roman" w:hAnsi="Times New Roman" w:eastAsia="宋体" w:cs="Times New Roman"/>
                      <w:b/>
                      <w:bCs w:val="0"/>
                      <w:color w:val="auto"/>
                      <w:sz w:val="21"/>
                      <w:szCs w:val="21"/>
                      <w:highlight w:val="none"/>
                    </w:rPr>
                    <w:t>（t/a）</w:t>
                  </w:r>
                </w:p>
              </w:tc>
              <w:tc>
                <w:tcPr>
                  <w:tcW w:w="742" w:type="pct"/>
                  <w:vMerge w:val="restart"/>
                  <w:noWrap w:val="0"/>
                  <w:vAlign w:val="center"/>
                </w:tcPr>
                <w:p w14:paraId="5330829F">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排放去向</w:t>
                  </w:r>
                </w:p>
              </w:tc>
            </w:tr>
            <w:tr w14:paraId="0A66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5" w:type="pct"/>
                  <w:vMerge w:val="continue"/>
                  <w:noWrap w:val="0"/>
                  <w:vAlign w:val="center"/>
                </w:tcPr>
                <w:p w14:paraId="01C48AF3">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18" w:type="pct"/>
                  <w:vMerge w:val="continue"/>
                  <w:noWrap w:val="0"/>
                  <w:vAlign w:val="center"/>
                </w:tcPr>
                <w:p w14:paraId="23754B83">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71" w:type="pct"/>
                  <w:vMerge w:val="continue"/>
                  <w:noWrap w:val="0"/>
                  <w:vAlign w:val="center"/>
                </w:tcPr>
                <w:p w14:paraId="1064CE16">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698" w:type="pct"/>
                  <w:vMerge w:val="continue"/>
                  <w:noWrap w:val="0"/>
                  <w:vAlign w:val="center"/>
                </w:tcPr>
                <w:p w14:paraId="03CB81EE">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p>
              </w:tc>
              <w:tc>
                <w:tcPr>
                  <w:tcW w:w="812" w:type="pct"/>
                  <w:vMerge w:val="continue"/>
                  <w:noWrap w:val="0"/>
                  <w:vAlign w:val="center"/>
                </w:tcPr>
                <w:p w14:paraId="01609B88">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p>
              </w:tc>
              <w:tc>
                <w:tcPr>
                  <w:tcW w:w="901" w:type="pct"/>
                  <w:vMerge w:val="continue"/>
                  <w:noWrap w:val="0"/>
                  <w:vAlign w:val="center"/>
                </w:tcPr>
                <w:p w14:paraId="3C5671B7">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p>
              </w:tc>
              <w:tc>
                <w:tcPr>
                  <w:tcW w:w="742" w:type="pct"/>
                  <w:vMerge w:val="continue"/>
                  <w:noWrap w:val="0"/>
                  <w:vAlign w:val="center"/>
                </w:tcPr>
                <w:p w14:paraId="1077CA3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r>
            <w:tr w14:paraId="7B50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pct"/>
                  <w:vMerge w:val="restart"/>
                  <w:noWrap w:val="0"/>
                  <w:vAlign w:val="center"/>
                </w:tcPr>
                <w:p w14:paraId="22B73292">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cs="Times New Roman"/>
                      <w:b w:val="0"/>
                      <w:bCs/>
                      <w:color w:val="auto"/>
                      <w:sz w:val="21"/>
                      <w:szCs w:val="21"/>
                      <w:highlight w:val="none"/>
                      <w:lang w:eastAsia="zh-CN"/>
                    </w:rPr>
                    <w:t>、循环冷却水</w:t>
                  </w:r>
                </w:p>
              </w:tc>
              <w:tc>
                <w:tcPr>
                  <w:tcW w:w="618" w:type="pct"/>
                  <w:vMerge w:val="restart"/>
                  <w:noWrap w:val="0"/>
                  <w:vAlign w:val="center"/>
                </w:tcPr>
                <w:p w14:paraId="721F0AF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488</w:t>
                  </w:r>
                </w:p>
              </w:tc>
              <w:tc>
                <w:tcPr>
                  <w:tcW w:w="671" w:type="pct"/>
                  <w:noWrap w:val="0"/>
                  <w:vAlign w:val="center"/>
                </w:tcPr>
                <w:p w14:paraId="14E4759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pH</w:t>
                  </w:r>
                </w:p>
              </w:tc>
              <w:tc>
                <w:tcPr>
                  <w:tcW w:w="698" w:type="pct"/>
                  <w:vMerge w:val="restart"/>
                  <w:noWrap w:val="0"/>
                  <w:vAlign w:val="center"/>
                </w:tcPr>
                <w:p w14:paraId="6C687B0F">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b w:val="0"/>
                      <w:bCs/>
                      <w:color w:val="auto"/>
                      <w:sz w:val="21"/>
                      <w:szCs w:val="21"/>
                      <w:highlight w:val="none"/>
                      <w:lang w:eastAsia="zh-CN"/>
                    </w:rPr>
                    <w:t>总排口</w:t>
                  </w:r>
                  <w:r>
                    <w:rPr>
                      <w:rFonts w:hint="default" w:ascii="Times New Roman" w:hAnsi="Times New Roman" w:eastAsia="宋体" w:cs="Times New Roman"/>
                      <w:b w:val="0"/>
                      <w:bCs/>
                      <w:color w:val="auto"/>
                      <w:sz w:val="21"/>
                      <w:szCs w:val="21"/>
                      <w:highlight w:val="none"/>
                    </w:rPr>
                    <w:t>排入</w:t>
                  </w:r>
                  <w:r>
                    <w:rPr>
                      <w:rFonts w:hint="default" w:ascii="Times New Roman" w:hAnsi="Times New Roman" w:eastAsia="宋体" w:cs="Times New Roman"/>
                      <w:b w:val="0"/>
                      <w:bCs/>
                      <w:color w:val="auto"/>
                      <w:sz w:val="21"/>
                      <w:szCs w:val="21"/>
                      <w:highlight w:val="none"/>
                      <w:lang w:val="en-US" w:eastAsia="zh-CN"/>
                    </w:rPr>
                    <w:t>蚌埠市第二</w:t>
                  </w:r>
                  <w:r>
                    <w:rPr>
                      <w:rFonts w:hint="default" w:ascii="Times New Roman" w:hAnsi="Times New Roman" w:eastAsia="宋体" w:cs="Times New Roman"/>
                      <w:b w:val="0"/>
                      <w:bCs/>
                      <w:color w:val="auto"/>
                      <w:sz w:val="21"/>
                      <w:szCs w:val="21"/>
                      <w:highlight w:val="none"/>
                      <w:lang w:eastAsia="zh-CN"/>
                    </w:rPr>
                    <w:t>污水处理厂</w:t>
                  </w:r>
                </w:p>
              </w:tc>
              <w:tc>
                <w:tcPr>
                  <w:tcW w:w="812" w:type="pct"/>
                  <w:noWrap w:val="0"/>
                  <w:vAlign w:val="center"/>
                </w:tcPr>
                <w:p w14:paraId="2852DDD3">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6~9</w:t>
                  </w:r>
                </w:p>
              </w:tc>
              <w:tc>
                <w:tcPr>
                  <w:tcW w:w="901" w:type="pct"/>
                  <w:noWrap w:val="0"/>
                  <w:vAlign w:val="center"/>
                </w:tcPr>
                <w:p w14:paraId="5B829465">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742" w:type="pct"/>
                  <w:vMerge w:val="restart"/>
                  <w:noWrap w:val="0"/>
                  <w:vAlign w:val="center"/>
                </w:tcPr>
                <w:p w14:paraId="73A4AF00">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蚌埠市第二</w:t>
                  </w:r>
                  <w:r>
                    <w:rPr>
                      <w:rFonts w:hint="default" w:ascii="Times New Roman" w:hAnsi="Times New Roman" w:eastAsia="宋体" w:cs="Times New Roman"/>
                      <w:b w:val="0"/>
                      <w:bCs/>
                      <w:color w:val="auto"/>
                      <w:sz w:val="21"/>
                      <w:szCs w:val="21"/>
                      <w:highlight w:val="none"/>
                      <w:lang w:eastAsia="zh-CN"/>
                    </w:rPr>
                    <w:t>污水处理厂</w:t>
                  </w:r>
                  <w:r>
                    <w:rPr>
                      <w:rFonts w:hint="default" w:ascii="Times New Roman" w:hAnsi="Times New Roman" w:cs="Times New Roman"/>
                      <w:b w:val="0"/>
                      <w:bCs/>
                      <w:color w:val="auto"/>
                      <w:sz w:val="21"/>
                      <w:szCs w:val="21"/>
                      <w:highlight w:val="none"/>
                      <w:lang w:eastAsia="zh-CN"/>
                    </w:rPr>
                    <w:t>处理后达标排放</w:t>
                  </w:r>
                </w:p>
              </w:tc>
            </w:tr>
            <w:tr w14:paraId="4517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pct"/>
                  <w:vMerge w:val="continue"/>
                  <w:noWrap w:val="0"/>
                  <w:vAlign w:val="center"/>
                </w:tcPr>
                <w:p w14:paraId="43C62FE6">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18" w:type="pct"/>
                  <w:vMerge w:val="continue"/>
                  <w:noWrap w:val="0"/>
                  <w:vAlign w:val="center"/>
                </w:tcPr>
                <w:p w14:paraId="6F6E77EB">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71" w:type="pct"/>
                  <w:noWrap w:val="0"/>
                  <w:vAlign w:val="center"/>
                </w:tcPr>
                <w:p w14:paraId="37FDDE40">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COD</w:t>
                  </w:r>
                </w:p>
              </w:tc>
              <w:tc>
                <w:tcPr>
                  <w:tcW w:w="698" w:type="pct"/>
                  <w:vMerge w:val="continue"/>
                  <w:noWrap w:val="0"/>
                  <w:vAlign w:val="center"/>
                </w:tcPr>
                <w:p w14:paraId="625ADE97">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812" w:type="pct"/>
                  <w:noWrap w:val="0"/>
                  <w:vAlign w:val="center"/>
                </w:tcPr>
                <w:p w14:paraId="0659D07C">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50</w:t>
                  </w:r>
                </w:p>
              </w:tc>
              <w:tc>
                <w:tcPr>
                  <w:tcW w:w="901" w:type="pct"/>
                  <w:shd w:val="clear" w:color="auto" w:fill="auto"/>
                  <w:noWrap w:val="0"/>
                  <w:vAlign w:val="center"/>
                </w:tcPr>
                <w:p w14:paraId="55971C1C">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w:t>
                  </w:r>
                  <w:r>
                    <w:rPr>
                      <w:rFonts w:hint="default" w:ascii="Times New Roman" w:hAnsi="Times New Roman" w:cs="Times New Roman"/>
                      <w:b w:val="0"/>
                      <w:bCs/>
                      <w:color w:val="auto"/>
                      <w:sz w:val="21"/>
                      <w:szCs w:val="21"/>
                      <w:highlight w:val="none"/>
                      <w:lang w:val="en-US" w:eastAsia="zh-CN"/>
                    </w:rPr>
                    <w:t>0244</w:t>
                  </w:r>
                </w:p>
              </w:tc>
              <w:tc>
                <w:tcPr>
                  <w:tcW w:w="742" w:type="pct"/>
                  <w:vMerge w:val="continue"/>
                  <w:noWrap w:val="0"/>
                  <w:vAlign w:val="center"/>
                </w:tcPr>
                <w:p w14:paraId="51F4348F">
                  <w:pPr>
                    <w:pStyle w:val="6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val="0"/>
                      <w:color w:val="auto"/>
                      <w:highlight w:val="none"/>
                      <w:vertAlign w:val="baseline"/>
                      <w:lang w:val="en-US" w:eastAsia="zh-CN"/>
                    </w:rPr>
                  </w:pPr>
                </w:p>
              </w:tc>
            </w:tr>
            <w:tr w14:paraId="2024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pct"/>
                  <w:vMerge w:val="continue"/>
                  <w:noWrap w:val="0"/>
                  <w:vAlign w:val="center"/>
                </w:tcPr>
                <w:p w14:paraId="05C9B164">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18" w:type="pct"/>
                  <w:vMerge w:val="continue"/>
                  <w:noWrap w:val="0"/>
                  <w:vAlign w:val="center"/>
                </w:tcPr>
                <w:p w14:paraId="719BACA6">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71" w:type="pct"/>
                  <w:noWrap w:val="0"/>
                  <w:vAlign w:val="center"/>
                </w:tcPr>
                <w:p w14:paraId="489CFF2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BOD</w:t>
                  </w:r>
                  <w:r>
                    <w:rPr>
                      <w:rFonts w:hint="default" w:ascii="Times New Roman" w:hAnsi="Times New Roman" w:eastAsia="宋体" w:cs="Times New Roman"/>
                      <w:b w:val="0"/>
                      <w:bCs/>
                      <w:color w:val="auto"/>
                      <w:sz w:val="21"/>
                      <w:szCs w:val="21"/>
                      <w:highlight w:val="none"/>
                      <w:vertAlign w:val="subscript"/>
                    </w:rPr>
                    <w:t>5</w:t>
                  </w:r>
                </w:p>
              </w:tc>
              <w:tc>
                <w:tcPr>
                  <w:tcW w:w="698" w:type="pct"/>
                  <w:vMerge w:val="continue"/>
                  <w:noWrap w:val="0"/>
                  <w:vAlign w:val="center"/>
                </w:tcPr>
                <w:p w14:paraId="268EF2DE">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812" w:type="pct"/>
                  <w:noWrap w:val="0"/>
                  <w:vAlign w:val="center"/>
                </w:tcPr>
                <w:p w14:paraId="3E8CB6B5">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w:t>
                  </w:r>
                </w:p>
              </w:tc>
              <w:tc>
                <w:tcPr>
                  <w:tcW w:w="901" w:type="pct"/>
                  <w:shd w:val="clear" w:color="auto" w:fill="auto"/>
                  <w:noWrap w:val="0"/>
                  <w:vAlign w:val="center"/>
                </w:tcPr>
                <w:p w14:paraId="1D7F66B0">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w:t>
                  </w:r>
                  <w:r>
                    <w:rPr>
                      <w:rFonts w:hint="default" w:ascii="Times New Roman" w:hAnsi="Times New Roman" w:cs="Times New Roman"/>
                      <w:b w:val="0"/>
                      <w:bCs/>
                      <w:color w:val="auto"/>
                      <w:sz w:val="21"/>
                      <w:szCs w:val="21"/>
                      <w:highlight w:val="none"/>
                      <w:lang w:val="en-US" w:eastAsia="zh-CN"/>
                    </w:rPr>
                    <w:t>0488</w:t>
                  </w:r>
                </w:p>
              </w:tc>
              <w:tc>
                <w:tcPr>
                  <w:tcW w:w="742" w:type="pct"/>
                  <w:vMerge w:val="continue"/>
                  <w:noWrap w:val="0"/>
                  <w:vAlign w:val="center"/>
                </w:tcPr>
                <w:p w14:paraId="160B4837">
                  <w:pPr>
                    <w:pStyle w:val="6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val="0"/>
                      <w:color w:val="auto"/>
                      <w:highlight w:val="none"/>
                      <w:vertAlign w:val="baseline"/>
                      <w:lang w:val="en-US" w:eastAsia="zh-CN"/>
                    </w:rPr>
                  </w:pPr>
                </w:p>
              </w:tc>
            </w:tr>
            <w:tr w14:paraId="0CE84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pct"/>
                  <w:vMerge w:val="continue"/>
                  <w:noWrap w:val="0"/>
                  <w:vAlign w:val="center"/>
                </w:tcPr>
                <w:p w14:paraId="5F469D0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18" w:type="pct"/>
                  <w:vMerge w:val="continue"/>
                  <w:noWrap w:val="0"/>
                  <w:vAlign w:val="center"/>
                </w:tcPr>
                <w:p w14:paraId="1F21385B">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71" w:type="pct"/>
                  <w:noWrap w:val="0"/>
                  <w:vAlign w:val="center"/>
                </w:tcPr>
                <w:p w14:paraId="5F918D8A">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SS</w:t>
                  </w:r>
                </w:p>
              </w:tc>
              <w:tc>
                <w:tcPr>
                  <w:tcW w:w="698" w:type="pct"/>
                  <w:vMerge w:val="continue"/>
                  <w:noWrap w:val="0"/>
                  <w:vAlign w:val="center"/>
                </w:tcPr>
                <w:p w14:paraId="2B969FA4">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812" w:type="pct"/>
                  <w:noWrap w:val="0"/>
                  <w:vAlign w:val="center"/>
                </w:tcPr>
                <w:p w14:paraId="1F155C72">
                  <w:pPr>
                    <w:spacing w:line="240" w:lineRule="auto"/>
                    <w:ind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c>
                <w:tcPr>
                  <w:tcW w:w="901" w:type="pct"/>
                  <w:shd w:val="clear" w:color="auto" w:fill="auto"/>
                  <w:noWrap w:val="0"/>
                  <w:vAlign w:val="center"/>
                </w:tcPr>
                <w:p w14:paraId="2CC91C55">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w:t>
                  </w:r>
                  <w:r>
                    <w:rPr>
                      <w:rFonts w:hint="default" w:ascii="Times New Roman" w:hAnsi="Times New Roman" w:cs="Times New Roman"/>
                      <w:b w:val="0"/>
                      <w:bCs/>
                      <w:color w:val="auto"/>
                      <w:sz w:val="21"/>
                      <w:szCs w:val="21"/>
                      <w:highlight w:val="none"/>
                      <w:lang w:val="en-US" w:eastAsia="zh-CN"/>
                    </w:rPr>
                    <w:t>00488</w:t>
                  </w:r>
                </w:p>
              </w:tc>
              <w:tc>
                <w:tcPr>
                  <w:tcW w:w="742" w:type="pct"/>
                  <w:vMerge w:val="continue"/>
                  <w:noWrap w:val="0"/>
                  <w:vAlign w:val="center"/>
                </w:tcPr>
                <w:p w14:paraId="5A97D50A">
                  <w:pPr>
                    <w:pStyle w:val="6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val="0"/>
                      <w:color w:val="auto"/>
                      <w:highlight w:val="none"/>
                      <w:vertAlign w:val="baseline"/>
                      <w:lang w:val="en-US" w:eastAsia="zh-CN"/>
                    </w:rPr>
                  </w:pPr>
                </w:p>
              </w:tc>
            </w:tr>
            <w:tr w14:paraId="2075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pct"/>
                  <w:vMerge w:val="continue"/>
                  <w:noWrap w:val="0"/>
                  <w:vAlign w:val="center"/>
                </w:tcPr>
                <w:p w14:paraId="247A581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18" w:type="pct"/>
                  <w:vMerge w:val="continue"/>
                  <w:noWrap w:val="0"/>
                  <w:vAlign w:val="center"/>
                </w:tcPr>
                <w:p w14:paraId="40660D87">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71" w:type="pct"/>
                  <w:noWrap w:val="0"/>
                  <w:vAlign w:val="center"/>
                </w:tcPr>
                <w:p w14:paraId="34534C7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NH</w:t>
                  </w:r>
                  <w:r>
                    <w:rPr>
                      <w:rFonts w:hint="default" w:ascii="Times New Roman" w:hAnsi="Times New Roman" w:eastAsia="宋体" w:cs="Times New Roman"/>
                      <w:b w:val="0"/>
                      <w:bCs/>
                      <w:color w:val="auto"/>
                      <w:sz w:val="21"/>
                      <w:szCs w:val="21"/>
                      <w:highlight w:val="none"/>
                      <w:vertAlign w:val="subscript"/>
                    </w:rPr>
                    <w:t>3</w:t>
                  </w:r>
                  <w:r>
                    <w:rPr>
                      <w:rFonts w:hint="default" w:ascii="Times New Roman" w:hAnsi="Times New Roman" w:eastAsia="宋体" w:cs="Times New Roman"/>
                      <w:b w:val="0"/>
                      <w:bCs/>
                      <w:color w:val="auto"/>
                      <w:sz w:val="21"/>
                      <w:szCs w:val="21"/>
                      <w:highlight w:val="none"/>
                    </w:rPr>
                    <w:t>-N</w:t>
                  </w:r>
                </w:p>
              </w:tc>
              <w:tc>
                <w:tcPr>
                  <w:tcW w:w="698" w:type="pct"/>
                  <w:vMerge w:val="continue"/>
                  <w:noWrap w:val="0"/>
                  <w:vAlign w:val="center"/>
                </w:tcPr>
                <w:p w14:paraId="24E18265">
                  <w:pPr>
                    <w:spacing w:line="240" w:lineRule="auto"/>
                    <w:ind w:firstLine="0" w:firstLineChars="0"/>
                    <w:jc w:val="center"/>
                    <w:rPr>
                      <w:rFonts w:hint="default" w:ascii="Times New Roman" w:hAnsi="Times New Roman" w:eastAsia="宋体" w:cs="Times New Roman"/>
                      <w:b w:val="0"/>
                      <w:bCs/>
                      <w:color w:val="auto"/>
                      <w:sz w:val="21"/>
                      <w:szCs w:val="21"/>
                      <w:highlight w:val="none"/>
                    </w:rPr>
                  </w:pPr>
                </w:p>
              </w:tc>
              <w:tc>
                <w:tcPr>
                  <w:tcW w:w="812" w:type="pct"/>
                  <w:noWrap w:val="0"/>
                  <w:vAlign w:val="center"/>
                </w:tcPr>
                <w:p w14:paraId="5EDD2CDB">
                  <w:pPr>
                    <w:spacing w:line="240" w:lineRule="auto"/>
                    <w:ind w:firstLine="0" w:firstLineChars="0"/>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5</w:t>
                  </w:r>
                </w:p>
              </w:tc>
              <w:tc>
                <w:tcPr>
                  <w:tcW w:w="901" w:type="pct"/>
                  <w:shd w:val="clear" w:color="auto" w:fill="auto"/>
                  <w:noWrap w:val="0"/>
                  <w:vAlign w:val="center"/>
                </w:tcPr>
                <w:p w14:paraId="2165A40B">
                  <w:pPr>
                    <w:spacing w:line="240" w:lineRule="auto"/>
                    <w:ind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0.0</w:t>
                  </w:r>
                  <w:r>
                    <w:rPr>
                      <w:rFonts w:hint="default" w:ascii="Times New Roman" w:hAnsi="Times New Roman" w:cs="Times New Roman"/>
                      <w:b w:val="0"/>
                      <w:bCs/>
                      <w:color w:val="auto"/>
                      <w:sz w:val="21"/>
                      <w:szCs w:val="21"/>
                      <w:highlight w:val="none"/>
                      <w:lang w:val="en-US" w:eastAsia="zh-CN"/>
                    </w:rPr>
                    <w:t>0244</w:t>
                  </w:r>
                </w:p>
              </w:tc>
              <w:tc>
                <w:tcPr>
                  <w:tcW w:w="742" w:type="pct"/>
                  <w:vMerge w:val="continue"/>
                  <w:noWrap w:val="0"/>
                  <w:vAlign w:val="center"/>
                </w:tcPr>
                <w:p w14:paraId="07C62BFC">
                  <w:pPr>
                    <w:pStyle w:val="6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val="0"/>
                      <w:color w:val="auto"/>
                      <w:highlight w:val="none"/>
                      <w:vertAlign w:val="baseline"/>
                      <w:lang w:val="en-US" w:eastAsia="zh-CN"/>
                    </w:rPr>
                  </w:pPr>
                </w:p>
              </w:tc>
            </w:tr>
          </w:tbl>
          <w:p w14:paraId="5B051680">
            <w:pPr>
              <w:ind w:firstLine="480"/>
              <w:rPr>
                <w:rFonts w:hint="default" w:ascii="Times New Roman" w:hAnsi="Times New Roman" w:cs="Times New Roman"/>
                <w:color w:val="auto"/>
                <w:highlight w:val="none"/>
              </w:rPr>
            </w:pPr>
            <w:r>
              <w:rPr>
                <w:rFonts w:hint="default" w:ascii="Times New Roman" w:hAnsi="Times New Roman" w:cs="Times New Roman"/>
                <w:color w:val="auto"/>
                <w:spacing w:val="3"/>
              </w:rPr>
              <w:t>本项目</w:t>
            </w:r>
            <w:r>
              <w:rPr>
                <w:rFonts w:hint="default" w:ascii="Times New Roman" w:hAnsi="Times New Roman" w:cs="Times New Roman"/>
                <w:color w:val="auto"/>
                <w:spacing w:val="3"/>
                <w:lang w:val="en-US" w:eastAsia="zh-CN"/>
              </w:rPr>
              <w:t>生活污水依托厂区化粪池处理后与循环冷却水纳入达</w:t>
            </w:r>
            <w:r>
              <w:rPr>
                <w:rFonts w:hint="default" w:ascii="Times New Roman" w:hAnsi="Times New Roman" w:cs="Times New Roman"/>
                <w:color w:val="auto"/>
                <w:highlight w:val="none"/>
              </w:rPr>
              <w:t>本项目废水排放口基本信息见下表。</w:t>
            </w:r>
          </w:p>
          <w:p w14:paraId="68AE1C7D">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zh-CN" w:eastAsia="zh-CN"/>
              </w:rPr>
              <w:t>表4-</w:t>
            </w:r>
            <w:r>
              <w:rPr>
                <w:rFonts w:hint="default" w:ascii="Times New Roman" w:hAnsi="Times New Roman" w:cs="Times New Roman"/>
                <w:b/>
                <w:color w:val="auto"/>
                <w:sz w:val="21"/>
                <w:szCs w:val="21"/>
                <w:lang w:val="en-US" w:eastAsia="zh-CN"/>
              </w:rPr>
              <w:t>8</w:t>
            </w:r>
            <w:r>
              <w:rPr>
                <w:rFonts w:hint="default" w:ascii="Times New Roman" w:hAnsi="Times New Roman" w:eastAsia="宋体" w:cs="Times New Roman"/>
                <w:b/>
                <w:color w:val="auto"/>
                <w:sz w:val="21"/>
                <w:szCs w:val="21"/>
                <w:lang w:val="en-US" w:eastAsia="zh-CN"/>
              </w:rPr>
              <w:t xml:space="preserve">  </w:t>
            </w:r>
            <w:r>
              <w:rPr>
                <w:rFonts w:hint="default" w:ascii="Times New Roman" w:hAnsi="Times New Roman" w:eastAsia="宋体" w:cs="Times New Roman"/>
                <w:b/>
                <w:color w:val="auto"/>
                <w:sz w:val="21"/>
                <w:szCs w:val="21"/>
                <w:lang w:val="zh-CN" w:eastAsia="zh-CN"/>
              </w:rPr>
              <w:t>废水类别、污染物及污染治理设施信息表</w:t>
            </w:r>
          </w:p>
          <w:tbl>
            <w:tblPr>
              <w:tblStyle w:val="2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676"/>
              <w:gridCol w:w="866"/>
              <w:gridCol w:w="1044"/>
              <w:gridCol w:w="542"/>
              <w:gridCol w:w="872"/>
              <w:gridCol w:w="904"/>
              <w:gridCol w:w="660"/>
              <w:gridCol w:w="1144"/>
              <w:gridCol w:w="652"/>
            </w:tblGrid>
            <w:tr w14:paraId="5A03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9" w:type="pct"/>
                  <w:vMerge w:val="restart"/>
                  <w:vAlign w:val="center"/>
                </w:tcPr>
                <w:p w14:paraId="713E7EFF">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序号</w:t>
                  </w:r>
                </w:p>
              </w:tc>
              <w:tc>
                <w:tcPr>
                  <w:tcW w:w="433" w:type="pct"/>
                  <w:vMerge w:val="restart"/>
                  <w:vAlign w:val="center"/>
                </w:tcPr>
                <w:p w14:paraId="09DD423A">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废水类别</w:t>
                  </w:r>
                </w:p>
              </w:tc>
              <w:tc>
                <w:tcPr>
                  <w:tcW w:w="555" w:type="pct"/>
                  <w:vMerge w:val="restart"/>
                  <w:vAlign w:val="center"/>
                </w:tcPr>
                <w:p w14:paraId="4C897926">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污染物</w:t>
                  </w:r>
                </w:p>
                <w:p w14:paraId="08303391">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种类</w:t>
                  </w:r>
                </w:p>
              </w:tc>
              <w:tc>
                <w:tcPr>
                  <w:tcW w:w="669" w:type="pct"/>
                  <w:vMerge w:val="restart"/>
                  <w:vAlign w:val="center"/>
                </w:tcPr>
                <w:p w14:paraId="5335127D">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排放去向</w:t>
                  </w:r>
                </w:p>
              </w:tc>
              <w:tc>
                <w:tcPr>
                  <w:tcW w:w="347" w:type="pct"/>
                  <w:vMerge w:val="restart"/>
                  <w:vAlign w:val="center"/>
                </w:tcPr>
                <w:p w14:paraId="2A4801C0">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w:t>
                  </w:r>
                </w:p>
                <w:p w14:paraId="120D26BA">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规律</w:t>
                  </w:r>
                </w:p>
              </w:tc>
              <w:tc>
                <w:tcPr>
                  <w:tcW w:w="1138" w:type="pct"/>
                  <w:gridSpan w:val="2"/>
                  <w:vAlign w:val="center"/>
                </w:tcPr>
                <w:p w14:paraId="7838281A">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污染治理设施</w:t>
                  </w:r>
                </w:p>
              </w:tc>
              <w:tc>
                <w:tcPr>
                  <w:tcW w:w="423" w:type="pct"/>
                  <w:vMerge w:val="restart"/>
                  <w:vAlign w:val="center"/>
                </w:tcPr>
                <w:p w14:paraId="0F5BB2C1">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排放口编号</w:t>
                  </w:r>
                </w:p>
              </w:tc>
              <w:tc>
                <w:tcPr>
                  <w:tcW w:w="733" w:type="pct"/>
                  <w:vMerge w:val="restart"/>
                  <w:vAlign w:val="center"/>
                </w:tcPr>
                <w:p w14:paraId="1B51FE11">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排放口设置是否符合要求</w:t>
                  </w:r>
                </w:p>
              </w:tc>
              <w:tc>
                <w:tcPr>
                  <w:tcW w:w="417" w:type="pct"/>
                  <w:vMerge w:val="restart"/>
                  <w:vAlign w:val="center"/>
                </w:tcPr>
                <w:p w14:paraId="359FFE7B">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排放口类型</w:t>
                  </w:r>
                </w:p>
              </w:tc>
            </w:tr>
            <w:tr w14:paraId="72DA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9" w:type="pct"/>
                  <w:vMerge w:val="continue"/>
                  <w:vAlign w:val="center"/>
                </w:tcPr>
                <w:p w14:paraId="32B754AE">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433" w:type="pct"/>
                  <w:vMerge w:val="continue"/>
                  <w:vAlign w:val="center"/>
                </w:tcPr>
                <w:p w14:paraId="6A8C965B">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555" w:type="pct"/>
                  <w:vMerge w:val="continue"/>
                  <w:vAlign w:val="center"/>
                </w:tcPr>
                <w:p w14:paraId="25B2457B">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669" w:type="pct"/>
                  <w:vMerge w:val="continue"/>
                  <w:vAlign w:val="center"/>
                </w:tcPr>
                <w:p w14:paraId="16C69996">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347" w:type="pct"/>
                  <w:vMerge w:val="continue"/>
                  <w:vAlign w:val="center"/>
                </w:tcPr>
                <w:p w14:paraId="48A0152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559" w:type="pct"/>
                  <w:vAlign w:val="center"/>
                </w:tcPr>
                <w:p w14:paraId="4F3F6D12">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污染治理设施编号</w:t>
                  </w:r>
                </w:p>
              </w:tc>
              <w:tc>
                <w:tcPr>
                  <w:tcW w:w="579" w:type="pct"/>
                  <w:vAlign w:val="center"/>
                </w:tcPr>
                <w:p w14:paraId="523B75E2">
                  <w:pPr>
                    <w:spacing w:line="240" w:lineRule="auto"/>
                    <w:ind w:firstLine="0" w:firstLineChars="0"/>
                    <w:jc w:val="cente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污染治理设施名称</w:t>
                  </w:r>
                </w:p>
              </w:tc>
              <w:tc>
                <w:tcPr>
                  <w:tcW w:w="423" w:type="pct"/>
                  <w:vMerge w:val="continue"/>
                  <w:vAlign w:val="center"/>
                </w:tcPr>
                <w:p w14:paraId="646E219C">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733" w:type="pct"/>
                  <w:vMerge w:val="continue"/>
                  <w:vAlign w:val="center"/>
                </w:tcPr>
                <w:p w14:paraId="6B3C668D">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c>
                <w:tcPr>
                  <w:tcW w:w="417" w:type="pct"/>
                  <w:vMerge w:val="continue"/>
                  <w:vAlign w:val="center"/>
                </w:tcPr>
                <w:p w14:paraId="08FD1452">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p>
              </w:tc>
            </w:tr>
            <w:tr w14:paraId="16A7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9" w:type="pct"/>
                  <w:vAlign w:val="center"/>
                </w:tcPr>
                <w:p w14:paraId="78010A8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p>
              </w:tc>
              <w:tc>
                <w:tcPr>
                  <w:tcW w:w="433" w:type="pct"/>
                  <w:vAlign w:val="center"/>
                </w:tcPr>
                <w:p w14:paraId="0C8D7808">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生活污水</w:t>
                  </w:r>
                  <w:r>
                    <w:rPr>
                      <w:rFonts w:hint="default" w:ascii="Times New Roman" w:hAnsi="Times New Roman" w:cs="Times New Roman"/>
                      <w:b w:val="0"/>
                      <w:bCs/>
                      <w:color w:val="auto"/>
                      <w:sz w:val="21"/>
                      <w:szCs w:val="21"/>
                      <w:highlight w:val="none"/>
                      <w:lang w:val="en-US" w:eastAsia="zh-CN"/>
                    </w:rPr>
                    <w:t>、循环冷却水</w:t>
                  </w:r>
                </w:p>
              </w:tc>
              <w:tc>
                <w:tcPr>
                  <w:tcW w:w="555" w:type="pct"/>
                  <w:vAlign w:val="center"/>
                </w:tcPr>
                <w:p w14:paraId="47BFA66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COD、BOD</w:t>
                  </w:r>
                  <w:r>
                    <w:rPr>
                      <w:rFonts w:hint="default" w:ascii="Times New Roman" w:hAnsi="Times New Roman" w:eastAsia="宋体" w:cs="Times New Roman"/>
                      <w:b w:val="0"/>
                      <w:bCs/>
                      <w:color w:val="auto"/>
                      <w:sz w:val="21"/>
                      <w:szCs w:val="21"/>
                      <w:highlight w:val="none"/>
                      <w:vertAlign w:val="subscript"/>
                      <w:lang w:val="en-US" w:eastAsia="zh-CN"/>
                    </w:rPr>
                    <w:t>5</w:t>
                  </w:r>
                  <w:r>
                    <w:rPr>
                      <w:rFonts w:hint="default" w:ascii="Times New Roman" w:hAnsi="Times New Roman" w:eastAsia="宋体" w:cs="Times New Roman"/>
                      <w:b w:val="0"/>
                      <w:bCs/>
                      <w:color w:val="auto"/>
                      <w:sz w:val="21"/>
                      <w:szCs w:val="21"/>
                      <w:highlight w:val="none"/>
                      <w:lang w:val="en-US" w:eastAsia="zh-CN"/>
                    </w:rPr>
                    <w:t>、SS、氨氮</w:t>
                  </w:r>
                </w:p>
              </w:tc>
              <w:tc>
                <w:tcPr>
                  <w:tcW w:w="669" w:type="pct"/>
                  <w:vAlign w:val="center"/>
                </w:tcPr>
                <w:p w14:paraId="10A68DE9">
                  <w:pPr>
                    <w:spacing w:line="240" w:lineRule="auto"/>
                    <w:ind w:firstLine="0" w:firstLineChars="0"/>
                    <w:jc w:val="center"/>
                    <w:rPr>
                      <w:rFonts w:hint="default" w:ascii="Times New Roman" w:hAnsi="Times New Roman" w:eastAsia="宋体" w:cs="Times New Roman"/>
                      <w:b w:val="0"/>
                      <w:bCs/>
                      <w:color w:val="auto"/>
                      <w:sz w:val="21"/>
                      <w:szCs w:val="21"/>
                      <w:highlight w:val="yellow"/>
                      <w:lang w:val="en-US" w:eastAsia="zh-CN"/>
                    </w:rPr>
                  </w:pPr>
                  <w:r>
                    <w:rPr>
                      <w:rFonts w:hint="default" w:ascii="Times New Roman" w:hAnsi="Times New Roman" w:eastAsia="宋体" w:cs="Times New Roman"/>
                      <w:b w:val="0"/>
                      <w:bCs/>
                      <w:color w:val="auto"/>
                      <w:sz w:val="21"/>
                      <w:szCs w:val="21"/>
                      <w:highlight w:val="none"/>
                      <w:lang w:val="en-US" w:eastAsia="zh-CN"/>
                    </w:rPr>
                    <w:t>生活污水经化粪池处理后</w:t>
                  </w:r>
                  <w:r>
                    <w:rPr>
                      <w:rFonts w:hint="default" w:ascii="Times New Roman" w:hAnsi="Times New Roman" w:eastAsia="宋体" w:cs="Times New Roman"/>
                      <w:b w:val="0"/>
                      <w:bCs/>
                      <w:color w:val="auto"/>
                      <w:sz w:val="21"/>
                      <w:szCs w:val="21"/>
                      <w:highlight w:val="none"/>
                      <w:lang w:eastAsia="zh-CN"/>
                    </w:rPr>
                    <w:t>排入</w:t>
                  </w:r>
                  <w:r>
                    <w:rPr>
                      <w:rFonts w:hint="default" w:ascii="Times New Roman" w:hAnsi="Times New Roman" w:eastAsia="宋体" w:cs="Times New Roman"/>
                      <w:b w:val="0"/>
                      <w:bCs/>
                      <w:color w:val="auto"/>
                      <w:sz w:val="21"/>
                      <w:szCs w:val="21"/>
                      <w:highlight w:val="none"/>
                      <w:lang w:val="en-US" w:eastAsia="zh-CN"/>
                    </w:rPr>
                    <w:t>蚌埠市第二</w:t>
                  </w:r>
                  <w:r>
                    <w:rPr>
                      <w:rFonts w:hint="default" w:ascii="Times New Roman" w:hAnsi="Times New Roman" w:eastAsia="宋体" w:cs="Times New Roman"/>
                      <w:b w:val="0"/>
                      <w:bCs/>
                      <w:color w:val="auto"/>
                      <w:sz w:val="21"/>
                      <w:szCs w:val="21"/>
                      <w:highlight w:val="none"/>
                      <w:lang w:eastAsia="zh-CN"/>
                    </w:rPr>
                    <w:t>污水处理厂</w:t>
                  </w:r>
                </w:p>
              </w:tc>
              <w:tc>
                <w:tcPr>
                  <w:tcW w:w="347" w:type="pct"/>
                  <w:vAlign w:val="center"/>
                </w:tcPr>
                <w:p w14:paraId="1048FE96">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间歇</w:t>
                  </w:r>
                </w:p>
              </w:tc>
              <w:tc>
                <w:tcPr>
                  <w:tcW w:w="559" w:type="pct"/>
                  <w:vAlign w:val="center"/>
                </w:tcPr>
                <w:p w14:paraId="6C6F9C0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TW001</w:t>
                  </w:r>
                </w:p>
              </w:tc>
              <w:tc>
                <w:tcPr>
                  <w:tcW w:w="579" w:type="pct"/>
                  <w:vAlign w:val="center"/>
                </w:tcPr>
                <w:p w14:paraId="1B4AB4E5">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化粪池</w:t>
                  </w:r>
                </w:p>
              </w:tc>
              <w:tc>
                <w:tcPr>
                  <w:tcW w:w="423" w:type="pct"/>
                  <w:vAlign w:val="center"/>
                </w:tcPr>
                <w:p w14:paraId="738BE47C">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DW001</w:t>
                  </w:r>
                </w:p>
              </w:tc>
              <w:tc>
                <w:tcPr>
                  <w:tcW w:w="733" w:type="pct"/>
                  <w:vAlign w:val="center"/>
                </w:tcPr>
                <w:p w14:paraId="74DB42D3">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是</w:t>
                  </w:r>
                </w:p>
              </w:tc>
              <w:tc>
                <w:tcPr>
                  <w:tcW w:w="417" w:type="pct"/>
                  <w:vAlign w:val="center"/>
                </w:tcPr>
                <w:p w14:paraId="4918FE27">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企业废水总排口</w:t>
                  </w:r>
                </w:p>
              </w:tc>
            </w:tr>
          </w:tbl>
          <w:p w14:paraId="3C7D89A4">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w:t>
            </w:r>
            <w:r>
              <w:rPr>
                <w:rFonts w:hint="default" w:ascii="Times New Roman" w:hAnsi="Times New Roman" w:cs="Times New Roman"/>
                <w:b/>
                <w:color w:val="auto"/>
                <w:sz w:val="21"/>
                <w:szCs w:val="21"/>
                <w:lang w:val="en-US" w:eastAsia="zh-CN"/>
              </w:rPr>
              <w:t>9</w:t>
            </w:r>
            <w:r>
              <w:rPr>
                <w:rFonts w:hint="default" w:ascii="Times New Roman" w:hAnsi="Times New Roman" w:eastAsia="宋体" w:cs="Times New Roman"/>
                <w:b/>
                <w:color w:val="auto"/>
                <w:sz w:val="21"/>
                <w:szCs w:val="21"/>
                <w:lang w:val="en-US" w:eastAsia="zh-CN"/>
              </w:rPr>
              <w:t xml:space="preserve">  本项目废水排放口基本情况表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872"/>
              <w:gridCol w:w="662"/>
              <w:gridCol w:w="992"/>
              <w:gridCol w:w="812"/>
              <w:gridCol w:w="724"/>
              <w:gridCol w:w="872"/>
              <w:gridCol w:w="1768"/>
            </w:tblGrid>
            <w:tr w14:paraId="701E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3" w:type="pct"/>
                  <w:vMerge w:val="restart"/>
                  <w:vAlign w:val="center"/>
                </w:tcPr>
                <w:p w14:paraId="01E3E823">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废</w:t>
                  </w:r>
                  <w:r>
                    <w:rPr>
                      <w:rFonts w:hint="default" w:ascii="Times New Roman" w:hAnsi="Times New Roman" w:cs="Times New Roman"/>
                      <w:b/>
                      <w:bCs/>
                      <w:color w:val="auto"/>
                      <w:sz w:val="21"/>
                      <w:szCs w:val="21"/>
                      <w:highlight w:val="none"/>
                      <w:lang w:val="en-US" w:eastAsia="zh-CN"/>
                    </w:rPr>
                    <w:t>水排放口</w:t>
                  </w:r>
                  <w:r>
                    <w:rPr>
                      <w:rFonts w:hint="default" w:ascii="Times New Roman" w:hAnsi="Times New Roman" w:cs="Times New Roman"/>
                      <w:b/>
                      <w:bCs/>
                      <w:color w:val="auto"/>
                      <w:sz w:val="21"/>
                      <w:szCs w:val="21"/>
                      <w:highlight w:val="none"/>
                    </w:rPr>
                    <w:t>编号</w:t>
                  </w:r>
                </w:p>
              </w:tc>
              <w:tc>
                <w:tcPr>
                  <w:tcW w:w="559" w:type="pct"/>
                  <w:vMerge w:val="restart"/>
                  <w:vAlign w:val="center"/>
                </w:tcPr>
                <w:p w14:paraId="71901D81">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排放去向</w:t>
                  </w:r>
                </w:p>
              </w:tc>
              <w:tc>
                <w:tcPr>
                  <w:tcW w:w="424" w:type="pct"/>
                  <w:vMerge w:val="restart"/>
                  <w:vAlign w:val="center"/>
                </w:tcPr>
                <w:p w14:paraId="2FFC3B6E">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排放方式</w:t>
                  </w:r>
                </w:p>
              </w:tc>
              <w:tc>
                <w:tcPr>
                  <w:tcW w:w="636" w:type="pct"/>
                  <w:vMerge w:val="restart"/>
                  <w:vAlign w:val="center"/>
                </w:tcPr>
                <w:p w14:paraId="0CE63F80">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排放规律</w:t>
                  </w:r>
                </w:p>
              </w:tc>
              <w:tc>
                <w:tcPr>
                  <w:tcW w:w="984" w:type="pct"/>
                  <w:gridSpan w:val="2"/>
                  <w:vAlign w:val="center"/>
                </w:tcPr>
                <w:p w14:paraId="2EB6F121">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地理坐标</w:t>
                  </w:r>
                </w:p>
              </w:tc>
              <w:tc>
                <w:tcPr>
                  <w:tcW w:w="559" w:type="pct"/>
                  <w:vMerge w:val="restart"/>
                  <w:vAlign w:val="center"/>
                </w:tcPr>
                <w:p w14:paraId="7788948C">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排放口类型</w:t>
                  </w:r>
                </w:p>
              </w:tc>
              <w:tc>
                <w:tcPr>
                  <w:tcW w:w="1133" w:type="pct"/>
                  <w:vMerge w:val="restart"/>
                  <w:vAlign w:val="center"/>
                </w:tcPr>
                <w:p w14:paraId="0109A70D">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排放</w:t>
                  </w:r>
                </w:p>
                <w:p w14:paraId="028CFF0E">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标准</w:t>
                  </w:r>
                </w:p>
              </w:tc>
            </w:tr>
            <w:tr w14:paraId="3222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3" w:type="pct"/>
                  <w:vMerge w:val="continue"/>
                  <w:vAlign w:val="center"/>
                </w:tcPr>
                <w:p w14:paraId="78A67EA1">
                  <w:pPr>
                    <w:spacing w:line="240" w:lineRule="auto"/>
                    <w:ind w:firstLine="0" w:firstLineChars="0"/>
                    <w:jc w:val="center"/>
                    <w:rPr>
                      <w:rFonts w:hint="default" w:ascii="Times New Roman" w:hAnsi="Times New Roman" w:cs="Times New Roman"/>
                      <w:b/>
                      <w:bCs/>
                      <w:color w:val="auto"/>
                      <w:sz w:val="21"/>
                      <w:szCs w:val="21"/>
                      <w:highlight w:val="none"/>
                    </w:rPr>
                  </w:pPr>
                </w:p>
              </w:tc>
              <w:tc>
                <w:tcPr>
                  <w:tcW w:w="559" w:type="pct"/>
                  <w:vMerge w:val="continue"/>
                  <w:vAlign w:val="center"/>
                </w:tcPr>
                <w:p w14:paraId="05A0AA96">
                  <w:pPr>
                    <w:spacing w:line="240" w:lineRule="auto"/>
                    <w:ind w:firstLine="0" w:firstLineChars="0"/>
                    <w:jc w:val="center"/>
                    <w:rPr>
                      <w:rFonts w:hint="default" w:ascii="Times New Roman" w:hAnsi="Times New Roman" w:cs="Times New Roman"/>
                      <w:b/>
                      <w:bCs/>
                      <w:color w:val="auto"/>
                      <w:sz w:val="21"/>
                      <w:szCs w:val="21"/>
                      <w:highlight w:val="none"/>
                    </w:rPr>
                  </w:pPr>
                </w:p>
              </w:tc>
              <w:tc>
                <w:tcPr>
                  <w:tcW w:w="424" w:type="pct"/>
                  <w:vMerge w:val="continue"/>
                  <w:vAlign w:val="center"/>
                </w:tcPr>
                <w:p w14:paraId="21226786">
                  <w:pPr>
                    <w:spacing w:line="240" w:lineRule="auto"/>
                    <w:ind w:firstLine="0" w:firstLineChars="0"/>
                    <w:jc w:val="center"/>
                    <w:rPr>
                      <w:rFonts w:hint="default" w:ascii="Times New Roman" w:hAnsi="Times New Roman" w:cs="Times New Roman"/>
                      <w:b/>
                      <w:bCs/>
                      <w:color w:val="auto"/>
                      <w:sz w:val="21"/>
                      <w:szCs w:val="21"/>
                      <w:highlight w:val="none"/>
                    </w:rPr>
                  </w:pPr>
                </w:p>
              </w:tc>
              <w:tc>
                <w:tcPr>
                  <w:tcW w:w="636" w:type="pct"/>
                  <w:vMerge w:val="continue"/>
                  <w:vAlign w:val="center"/>
                </w:tcPr>
                <w:p w14:paraId="78F975DF">
                  <w:pPr>
                    <w:spacing w:line="240" w:lineRule="auto"/>
                    <w:ind w:firstLine="0" w:firstLineChars="0"/>
                    <w:jc w:val="center"/>
                    <w:rPr>
                      <w:rFonts w:hint="default" w:ascii="Times New Roman" w:hAnsi="Times New Roman" w:cs="Times New Roman"/>
                      <w:b/>
                      <w:bCs/>
                      <w:color w:val="auto"/>
                      <w:sz w:val="21"/>
                      <w:szCs w:val="21"/>
                      <w:highlight w:val="none"/>
                    </w:rPr>
                  </w:pPr>
                </w:p>
              </w:tc>
              <w:tc>
                <w:tcPr>
                  <w:tcW w:w="520" w:type="pct"/>
                  <w:vAlign w:val="center"/>
                </w:tcPr>
                <w:p w14:paraId="15E53CE4">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经度</w:t>
                  </w:r>
                </w:p>
              </w:tc>
              <w:tc>
                <w:tcPr>
                  <w:tcW w:w="463" w:type="pct"/>
                  <w:vAlign w:val="center"/>
                </w:tcPr>
                <w:p w14:paraId="53747C03">
                  <w:pPr>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纬度</w:t>
                  </w:r>
                </w:p>
              </w:tc>
              <w:tc>
                <w:tcPr>
                  <w:tcW w:w="559" w:type="pct"/>
                  <w:vMerge w:val="continue"/>
                  <w:vAlign w:val="center"/>
                </w:tcPr>
                <w:p w14:paraId="6FCD84DF">
                  <w:pPr>
                    <w:spacing w:line="240" w:lineRule="auto"/>
                    <w:ind w:firstLine="0" w:firstLineChars="0"/>
                    <w:jc w:val="center"/>
                    <w:rPr>
                      <w:rFonts w:hint="default" w:ascii="Times New Roman" w:hAnsi="Times New Roman" w:cs="Times New Roman"/>
                      <w:color w:val="auto"/>
                      <w:sz w:val="21"/>
                      <w:szCs w:val="21"/>
                      <w:highlight w:val="none"/>
                    </w:rPr>
                  </w:pPr>
                </w:p>
              </w:tc>
              <w:tc>
                <w:tcPr>
                  <w:tcW w:w="1133" w:type="pct"/>
                  <w:vMerge w:val="continue"/>
                  <w:vAlign w:val="center"/>
                </w:tcPr>
                <w:p w14:paraId="1E051754">
                  <w:pPr>
                    <w:spacing w:line="240" w:lineRule="auto"/>
                    <w:ind w:firstLine="0" w:firstLineChars="0"/>
                    <w:jc w:val="center"/>
                    <w:rPr>
                      <w:rFonts w:hint="default" w:ascii="Times New Roman" w:hAnsi="Times New Roman" w:cs="Times New Roman"/>
                      <w:color w:val="auto"/>
                      <w:sz w:val="21"/>
                      <w:szCs w:val="21"/>
                      <w:highlight w:val="none"/>
                    </w:rPr>
                  </w:pPr>
                </w:p>
              </w:tc>
            </w:tr>
            <w:tr w14:paraId="0EC5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3" w:type="pct"/>
                  <w:vAlign w:val="center"/>
                </w:tcPr>
                <w:p w14:paraId="421EA347">
                  <w:pPr>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DW00</w:t>
                  </w:r>
                  <w:r>
                    <w:rPr>
                      <w:rFonts w:hint="default" w:ascii="Times New Roman" w:hAnsi="Times New Roman" w:cs="Times New Roman"/>
                      <w:color w:val="auto"/>
                      <w:sz w:val="21"/>
                      <w:szCs w:val="21"/>
                      <w:highlight w:val="none"/>
                      <w:lang w:val="en-US" w:eastAsia="zh-CN"/>
                    </w:rPr>
                    <w:t>1</w:t>
                  </w:r>
                </w:p>
              </w:tc>
              <w:tc>
                <w:tcPr>
                  <w:tcW w:w="559" w:type="pct"/>
                  <w:vAlign w:val="center"/>
                </w:tcPr>
                <w:p w14:paraId="652370F7">
                  <w:pPr>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蚌埠市第二</w:t>
                  </w:r>
                  <w:r>
                    <w:rPr>
                      <w:rFonts w:hint="default" w:ascii="Times New Roman" w:hAnsi="Times New Roman" w:cs="Times New Roman"/>
                      <w:color w:val="auto"/>
                      <w:sz w:val="21"/>
                      <w:szCs w:val="21"/>
                      <w:highlight w:val="none"/>
                      <w:lang w:eastAsia="zh-CN"/>
                    </w:rPr>
                    <w:t>污水处理厂</w:t>
                  </w:r>
                </w:p>
              </w:tc>
              <w:tc>
                <w:tcPr>
                  <w:tcW w:w="424" w:type="pct"/>
                  <w:vAlign w:val="center"/>
                </w:tcPr>
                <w:p w14:paraId="37475E82">
                  <w:pPr>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间接排放</w:t>
                  </w:r>
                </w:p>
              </w:tc>
              <w:tc>
                <w:tcPr>
                  <w:tcW w:w="636" w:type="pct"/>
                  <w:vAlign w:val="center"/>
                </w:tcPr>
                <w:p w14:paraId="4806291C">
                  <w:pPr>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间断排放，排放期间流量稳定</w:t>
                  </w:r>
                </w:p>
              </w:tc>
              <w:tc>
                <w:tcPr>
                  <w:tcW w:w="520" w:type="pct"/>
                  <w:vAlign w:val="center"/>
                </w:tcPr>
                <w:p w14:paraId="2DD7A0EC">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117.470283</w:t>
                  </w:r>
                </w:p>
              </w:tc>
              <w:tc>
                <w:tcPr>
                  <w:tcW w:w="463" w:type="pct"/>
                  <w:vAlign w:val="center"/>
                </w:tcPr>
                <w:p w14:paraId="3F3F12FA">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32.893714</w:t>
                  </w:r>
                </w:p>
              </w:tc>
              <w:tc>
                <w:tcPr>
                  <w:tcW w:w="559" w:type="pct"/>
                  <w:vAlign w:val="center"/>
                </w:tcPr>
                <w:p w14:paraId="55C45CEF">
                  <w:pPr>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一般排放口</w:t>
                  </w:r>
                </w:p>
              </w:tc>
              <w:tc>
                <w:tcPr>
                  <w:tcW w:w="1133" w:type="pct"/>
                  <w:vAlign w:val="center"/>
                </w:tcPr>
                <w:p w14:paraId="207E6440">
                  <w:pPr>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蚌埠市第二</w:t>
                  </w:r>
                  <w:r>
                    <w:rPr>
                      <w:rFonts w:hint="default" w:ascii="Times New Roman" w:hAnsi="Times New Roman" w:cs="Times New Roman"/>
                      <w:color w:val="auto"/>
                      <w:sz w:val="21"/>
                      <w:szCs w:val="21"/>
                      <w:highlight w:val="none"/>
                      <w:lang w:eastAsia="zh-CN"/>
                    </w:rPr>
                    <w:t>污水处理厂</w:t>
                  </w:r>
                  <w:r>
                    <w:rPr>
                      <w:rFonts w:hint="default" w:ascii="Times New Roman" w:hAnsi="Times New Roman" w:cs="Times New Roman"/>
                      <w:color w:val="auto"/>
                      <w:sz w:val="21"/>
                      <w:szCs w:val="21"/>
                      <w:highlight w:val="none"/>
                    </w:rPr>
                    <w:t>接管标准</w:t>
                  </w:r>
                  <w:r>
                    <w:rPr>
                      <w:rFonts w:hint="default" w:ascii="Times New Roman" w:hAnsi="Times New Roman" w:cs="Times New Roman"/>
                      <w:color w:val="auto"/>
                      <w:sz w:val="21"/>
                      <w:szCs w:val="21"/>
                      <w:highlight w:val="none"/>
                      <w:lang w:val="en-US" w:eastAsia="zh-CN"/>
                    </w:rPr>
                    <w:t>及污水综合排放标准（GB8978-1996）三级标准</w:t>
                  </w:r>
                </w:p>
              </w:tc>
            </w:tr>
          </w:tbl>
          <w:p w14:paraId="231F0FA6">
            <w:pPr>
              <w:pStyle w:val="67"/>
              <w:adjustRightInd/>
              <w:snapToGrid/>
              <w:ind w:firstLine="482"/>
              <w:rPr>
                <w:rFonts w:hint="default" w:ascii="Times New Roman" w:hAnsi="Times New Roman" w:eastAsia="宋体" w:cs="Times New Roman"/>
                <w:b/>
                <w:color w:val="auto"/>
                <w:szCs w:val="24"/>
                <w:lang w:val="en-US" w:eastAsia="zh-CN"/>
              </w:rPr>
            </w:pPr>
            <w:r>
              <w:rPr>
                <w:rFonts w:hint="default" w:ascii="Times New Roman" w:hAnsi="Times New Roman" w:eastAsia="宋体" w:cs="Times New Roman"/>
                <w:b/>
                <w:color w:val="auto"/>
                <w:szCs w:val="24"/>
                <w:lang w:val="en-US" w:eastAsia="zh-CN"/>
              </w:rPr>
              <w:t>2、蚌埠市第二污水处理厂处理可达性分析</w:t>
            </w:r>
          </w:p>
          <w:p w14:paraId="49B89542">
            <w:pPr>
              <w:pStyle w:val="7"/>
              <w:ind w:firstLine="480" w:firstLineChars="200"/>
              <w:rPr>
                <w:rFonts w:hint="default" w:ascii="Times New Roman" w:hAnsi="Times New Roman" w:eastAsia="宋体" w:cs="Times New Roman"/>
                <w:b w:val="0"/>
                <w:bCs/>
                <w:color w:val="auto"/>
                <w:highlight w:val="none"/>
                <w:lang w:val="en-US" w:eastAsia="zh-CN"/>
              </w:rPr>
            </w:pPr>
            <w:r>
              <w:rPr>
                <w:rFonts w:hint="default" w:ascii="Times New Roman" w:hAnsi="Times New Roman" w:cs="Times New Roman"/>
                <w:b w:val="0"/>
                <w:bCs/>
                <w:color w:val="auto"/>
                <w:highlight w:val="none"/>
                <w:lang w:val="en-US" w:eastAsia="zh-CN"/>
              </w:rPr>
              <w:t>（1）</w:t>
            </w:r>
            <w:r>
              <w:rPr>
                <w:rFonts w:hint="default" w:ascii="Times New Roman" w:hAnsi="Times New Roman" w:eastAsia="宋体" w:cs="Times New Roman"/>
                <w:b w:val="0"/>
                <w:bCs/>
                <w:color w:val="auto"/>
                <w:highlight w:val="none"/>
                <w:lang w:val="en-US" w:eastAsia="zh-CN"/>
              </w:rPr>
              <w:t>蚌埠市第二污水处理厂概况</w:t>
            </w:r>
          </w:p>
          <w:p w14:paraId="634402F4">
            <w:pPr>
              <w:spacing w:line="360" w:lineRule="auto"/>
              <w:ind w:firstLine="480"/>
              <w:rPr>
                <w:rFonts w:hint="default" w:ascii="Times New Roman" w:hAnsi="Times New Roman" w:eastAsia="宋体" w:cs="Times New Roman"/>
                <w:b w:val="0"/>
                <w:bCs/>
                <w:color w:val="auto"/>
                <w:highlight w:val="none"/>
                <w:lang w:val="en-US" w:eastAsia="zh-CN"/>
              </w:rPr>
            </w:pPr>
            <w:r>
              <w:rPr>
                <w:rFonts w:hint="default" w:ascii="Times New Roman" w:hAnsi="Times New Roman" w:eastAsia="宋体" w:cs="Times New Roman"/>
                <w:b w:val="0"/>
                <w:bCs/>
                <w:color w:val="auto"/>
                <w:highlight w:val="none"/>
                <w:lang w:val="en-US" w:eastAsia="zh-CN"/>
              </w:rPr>
              <w:t>蚌埠市第二污水处理厂位于蚌埠市长淮卫路以南、凤阳路以北、津浦铁路（货运线）以东的仇岗村，收水范围涉及老虎山以东、黄山大道以北、龙子湖以西区域及龙子湖以东区域，服务范围约为78km</w:t>
            </w:r>
            <w:r>
              <w:rPr>
                <w:rFonts w:hint="default" w:ascii="Times New Roman" w:hAnsi="Times New Roman" w:eastAsia="宋体" w:cs="Times New Roman"/>
                <w:b w:val="0"/>
                <w:bCs/>
                <w:color w:val="auto"/>
                <w:highlight w:val="none"/>
                <w:vertAlign w:val="superscript"/>
                <w:lang w:val="en-US" w:eastAsia="zh-CN"/>
              </w:rPr>
              <w:t>2</w:t>
            </w:r>
            <w:r>
              <w:rPr>
                <w:rFonts w:hint="default" w:ascii="Times New Roman" w:hAnsi="Times New Roman" w:eastAsia="宋体" w:cs="Times New Roman"/>
                <w:b w:val="0"/>
                <w:bCs/>
                <w:color w:val="auto"/>
                <w:highlight w:val="none"/>
                <w:lang w:val="en-US" w:eastAsia="zh-CN"/>
              </w:rPr>
              <w:t>属于该收水范围内。</w:t>
            </w:r>
          </w:p>
          <w:p w14:paraId="49F0B20D">
            <w:pPr>
              <w:spacing w:line="360" w:lineRule="auto"/>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891280" cy="2303780"/>
                  <wp:effectExtent l="0" t="0" r="13970" b="127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icPr>
                        <pic:blipFill>
                          <a:blip r:embed="rId30"/>
                          <a:stretch>
                            <a:fillRect/>
                          </a:stretch>
                        </pic:blipFill>
                        <pic:spPr>
                          <a:xfrm>
                            <a:off x="0" y="0"/>
                            <a:ext cx="3891280" cy="2303780"/>
                          </a:xfrm>
                          <a:prstGeom prst="rect">
                            <a:avLst/>
                          </a:prstGeom>
                          <a:noFill/>
                          <a:ln>
                            <a:noFill/>
                          </a:ln>
                        </pic:spPr>
                      </pic:pic>
                    </a:graphicData>
                  </a:graphic>
                </wp:inline>
              </w:drawing>
            </w:r>
          </w:p>
          <w:p w14:paraId="35B25833">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图4-</w:t>
            </w:r>
            <w:r>
              <w:rPr>
                <w:rFonts w:hint="eastAsia" w:cs="Times New Roman"/>
                <w:b/>
                <w:color w:val="auto"/>
                <w:sz w:val="21"/>
                <w:szCs w:val="21"/>
                <w:lang w:val="en-US" w:eastAsia="zh-CN"/>
              </w:rPr>
              <w:t>1</w:t>
            </w:r>
            <w:r>
              <w:rPr>
                <w:rFonts w:hint="default" w:ascii="Times New Roman" w:hAnsi="Times New Roman" w:eastAsia="宋体" w:cs="Times New Roman"/>
                <w:b/>
                <w:color w:val="auto"/>
                <w:sz w:val="21"/>
                <w:szCs w:val="21"/>
                <w:lang w:val="en-US" w:eastAsia="zh-CN"/>
              </w:rPr>
              <w:t xml:space="preserve">  蚌埠市第二污水处理厂处理工艺</w:t>
            </w:r>
          </w:p>
          <w:p w14:paraId="31ED2F40">
            <w:pPr>
              <w:pStyle w:val="7"/>
              <w:ind w:firstLine="480" w:firstLineChars="200"/>
              <w:rPr>
                <w:rFonts w:hint="default" w:ascii="Times New Roman" w:hAnsi="Times New Roman" w:eastAsia="宋体" w:cs="Times New Roman"/>
                <w:b w:val="0"/>
                <w:bCs/>
                <w:color w:val="auto"/>
                <w:highlight w:val="none"/>
                <w:lang w:val="en-US" w:eastAsia="zh-CN"/>
              </w:rPr>
            </w:pPr>
            <w:r>
              <w:rPr>
                <w:rFonts w:hint="default" w:ascii="Times New Roman" w:hAnsi="Times New Roman" w:eastAsia="宋体" w:cs="Times New Roman"/>
                <w:b w:val="0"/>
                <w:bCs/>
                <w:color w:val="auto"/>
                <w:highlight w:val="none"/>
                <w:lang w:val="en-US" w:eastAsia="zh-CN"/>
              </w:rPr>
              <w:t>污水处理采用“微孔曝气A2/O氧化沟工艺”工艺处理废水，尾水达《城镇污水处理厂污染物排放标准》（GB18918-2002）中一级A标准排放至淮河</w:t>
            </w:r>
            <w:r>
              <w:rPr>
                <w:rFonts w:hint="default" w:ascii="Times New Roman" w:hAnsi="Times New Roman" w:cs="Times New Roman"/>
                <w:b w:val="0"/>
                <w:bCs/>
                <w:color w:val="auto"/>
                <w:highlight w:val="none"/>
                <w:lang w:val="en-US" w:eastAsia="zh-CN"/>
              </w:rPr>
              <w:t>干流蚌埠段</w:t>
            </w:r>
            <w:r>
              <w:rPr>
                <w:rFonts w:hint="default" w:ascii="Times New Roman" w:hAnsi="Times New Roman" w:eastAsia="宋体" w:cs="Times New Roman"/>
                <w:b w:val="0"/>
                <w:bCs/>
                <w:color w:val="auto"/>
                <w:highlight w:val="none"/>
                <w:lang w:val="en-US" w:eastAsia="zh-CN"/>
              </w:rPr>
              <w:t>。</w:t>
            </w:r>
          </w:p>
          <w:p w14:paraId="6FFD6A5F">
            <w:pPr>
              <w:spacing w:line="360" w:lineRule="auto"/>
              <w:ind w:firstLine="480"/>
              <w:rPr>
                <w:rFonts w:hint="default" w:ascii="Times New Roman" w:hAnsi="Times New Roman" w:eastAsia="宋体" w:cs="Times New Roman"/>
                <w:b w:val="0"/>
                <w:bCs/>
                <w:color w:val="auto"/>
                <w:highlight w:val="none"/>
                <w:lang w:val="en-US" w:eastAsia="zh-CN"/>
              </w:rPr>
            </w:pPr>
            <w:r>
              <w:rPr>
                <w:rFonts w:hint="default" w:ascii="Times New Roman" w:hAnsi="Times New Roman" w:eastAsia="宋体" w:cs="Times New Roman"/>
                <w:b w:val="0"/>
                <w:bCs/>
                <w:color w:val="auto"/>
                <w:highlight w:val="none"/>
                <w:lang w:val="en-US" w:eastAsia="zh-CN"/>
              </w:rPr>
              <w:t>蚌埠市第二污水处理厂一期，二期总处理规模为20万m</w:t>
            </w:r>
            <w:r>
              <w:rPr>
                <w:rFonts w:hint="default" w:ascii="Times New Roman" w:hAnsi="Times New Roman" w:eastAsia="宋体" w:cs="Times New Roman"/>
                <w:b w:val="0"/>
                <w:bCs/>
                <w:color w:val="auto"/>
                <w:highlight w:val="none"/>
                <w:vertAlign w:val="superscript"/>
                <w:lang w:val="en-US" w:eastAsia="zh-CN"/>
              </w:rPr>
              <w:t>3</w:t>
            </w:r>
            <w:r>
              <w:rPr>
                <w:rFonts w:hint="default" w:ascii="Times New Roman" w:hAnsi="Times New Roman" w:eastAsia="宋体" w:cs="Times New Roman"/>
                <w:b w:val="0"/>
                <w:bCs/>
                <w:color w:val="auto"/>
                <w:highlight w:val="none"/>
                <w:lang w:val="en-US" w:eastAsia="zh-CN"/>
              </w:rPr>
              <w:t>/d，现状处理量约16.42万m</w:t>
            </w:r>
            <w:r>
              <w:rPr>
                <w:rFonts w:hint="default" w:ascii="Times New Roman" w:hAnsi="Times New Roman" w:eastAsia="宋体" w:cs="Times New Roman"/>
                <w:b w:val="0"/>
                <w:bCs/>
                <w:color w:val="auto"/>
                <w:highlight w:val="none"/>
                <w:vertAlign w:val="superscript"/>
                <w:lang w:val="en-US" w:eastAsia="zh-CN"/>
              </w:rPr>
              <w:t>3</w:t>
            </w:r>
            <w:r>
              <w:rPr>
                <w:rFonts w:hint="default" w:ascii="Times New Roman" w:hAnsi="Times New Roman" w:eastAsia="宋体" w:cs="Times New Roman"/>
                <w:b w:val="0"/>
                <w:bCs/>
                <w:color w:val="auto"/>
                <w:highlight w:val="none"/>
                <w:lang w:val="en-US" w:eastAsia="zh-CN"/>
              </w:rPr>
              <w:t>/d，污水处理厂余量为3.58万m</w:t>
            </w:r>
            <w:r>
              <w:rPr>
                <w:rFonts w:hint="default" w:ascii="Times New Roman" w:hAnsi="Times New Roman" w:eastAsia="宋体" w:cs="Times New Roman"/>
                <w:b w:val="0"/>
                <w:bCs/>
                <w:color w:val="auto"/>
                <w:highlight w:val="none"/>
                <w:vertAlign w:val="superscript"/>
                <w:lang w:val="en-US" w:eastAsia="zh-CN"/>
              </w:rPr>
              <w:t>3</w:t>
            </w:r>
            <w:r>
              <w:rPr>
                <w:rFonts w:hint="default" w:ascii="Times New Roman" w:hAnsi="Times New Roman" w:eastAsia="宋体" w:cs="Times New Roman"/>
                <w:b w:val="0"/>
                <w:bCs/>
                <w:color w:val="auto"/>
                <w:highlight w:val="none"/>
                <w:lang w:val="en-US" w:eastAsia="zh-CN"/>
              </w:rPr>
              <w:t>/d。</w:t>
            </w:r>
          </w:p>
          <w:p w14:paraId="0E102847">
            <w:pPr>
              <w:spacing w:line="360" w:lineRule="auto"/>
              <w:ind w:firstLine="48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（2）接管可行性分析</w:t>
            </w:r>
          </w:p>
          <w:p w14:paraId="5A7484DB">
            <w:pPr>
              <w:spacing w:line="360" w:lineRule="auto"/>
              <w:ind w:firstLine="480"/>
              <w:rPr>
                <w:rFonts w:hint="default" w:ascii="Times New Roman" w:hAnsi="Times New Roman" w:eastAsia="宋体" w:cs="Times New Roman"/>
                <w:b w:val="0"/>
                <w:bCs/>
                <w:color w:val="auto"/>
                <w:highlight w:val="none"/>
                <w:lang w:val="en-US" w:eastAsia="zh-CN"/>
              </w:rPr>
            </w:pPr>
            <w:r>
              <w:rPr>
                <w:rFonts w:hint="default" w:ascii="Times New Roman" w:hAnsi="Times New Roman" w:cs="Times New Roman"/>
                <w:b w:val="0"/>
                <w:bCs/>
                <w:color w:val="auto"/>
                <w:highlight w:val="none"/>
                <w:lang w:val="en-US" w:eastAsia="zh-CN"/>
              </w:rPr>
              <w:t>收水范围：</w:t>
            </w:r>
            <w:r>
              <w:rPr>
                <w:rFonts w:hint="default" w:ascii="Times New Roman" w:hAnsi="Times New Roman" w:eastAsia="宋体" w:cs="Times New Roman"/>
                <w:b w:val="0"/>
                <w:bCs/>
                <w:color w:val="auto"/>
                <w:highlight w:val="none"/>
                <w:lang w:val="en-US" w:eastAsia="zh-CN"/>
              </w:rPr>
              <w:t>本项目位于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eastAsia="宋体" w:cs="Times New Roman"/>
                <w:color w:val="auto"/>
                <w:lang w:val="en-US" w:eastAsia="zh-CN"/>
              </w:rPr>
              <w:t>，在</w:t>
            </w:r>
            <w:r>
              <w:rPr>
                <w:rFonts w:hint="default" w:ascii="Times New Roman" w:hAnsi="Times New Roman" w:eastAsia="宋体" w:cs="Times New Roman"/>
                <w:b w:val="0"/>
                <w:bCs/>
                <w:color w:val="auto"/>
                <w:highlight w:val="none"/>
                <w:lang w:val="en-US" w:eastAsia="zh-CN"/>
              </w:rPr>
              <w:t>蚌埠市第二污水处理厂收水范围内。</w:t>
            </w:r>
          </w:p>
          <w:p w14:paraId="271E344A">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水量</w:t>
            </w:r>
            <w:r>
              <w:rPr>
                <w:rFonts w:hint="default" w:ascii="Times New Roman" w:hAnsi="Times New Roman" w:cs="Times New Roman"/>
                <w:color w:val="auto"/>
                <w:lang w:val="en-US" w:eastAsia="zh-CN"/>
              </w:rPr>
              <w:t>：</w:t>
            </w:r>
            <w:r>
              <w:rPr>
                <w:rFonts w:hint="default" w:ascii="Times New Roman" w:hAnsi="Times New Roman" w:eastAsia="宋体" w:cs="Times New Roman"/>
                <w:b w:val="0"/>
                <w:bCs/>
                <w:color w:val="auto"/>
                <w:highlight w:val="none"/>
                <w:lang w:val="en-US" w:eastAsia="zh-CN"/>
              </w:rPr>
              <w:t>本项目建成后全厂排放废水为</w:t>
            </w:r>
            <w:r>
              <w:rPr>
                <w:rFonts w:hint="default" w:ascii="Times New Roman" w:hAnsi="Times New Roman" w:cs="Times New Roman"/>
                <w:b w:val="0"/>
                <w:bCs/>
                <w:color w:val="auto"/>
                <w:highlight w:val="none"/>
                <w:lang w:val="en-US" w:eastAsia="zh-CN"/>
              </w:rPr>
              <w:t>1.627</w:t>
            </w:r>
            <w:r>
              <w:rPr>
                <w:rFonts w:hint="default" w:ascii="Times New Roman" w:hAnsi="Times New Roman" w:eastAsia="宋体" w:cs="Times New Roman"/>
                <w:b w:val="0"/>
                <w:bCs/>
                <w:color w:val="auto"/>
                <w:highlight w:val="none"/>
                <w:lang w:val="en-US" w:eastAsia="zh-CN"/>
              </w:rPr>
              <w:t>m</w:t>
            </w:r>
            <w:r>
              <w:rPr>
                <w:rFonts w:hint="default" w:ascii="Times New Roman" w:hAnsi="Times New Roman" w:eastAsia="宋体" w:cs="Times New Roman"/>
                <w:b w:val="0"/>
                <w:bCs/>
                <w:color w:val="auto"/>
                <w:highlight w:val="none"/>
                <w:vertAlign w:val="superscript"/>
                <w:lang w:val="en-US" w:eastAsia="zh-CN"/>
              </w:rPr>
              <w:t>3</w:t>
            </w:r>
            <w:r>
              <w:rPr>
                <w:rFonts w:hint="default" w:ascii="Times New Roman" w:hAnsi="Times New Roman" w:eastAsia="宋体" w:cs="Times New Roman"/>
                <w:b w:val="0"/>
                <w:bCs/>
                <w:color w:val="auto"/>
                <w:highlight w:val="none"/>
                <w:lang w:val="en-US" w:eastAsia="zh-CN"/>
              </w:rPr>
              <w:t>/d，</w:t>
            </w:r>
            <w:r>
              <w:rPr>
                <w:rFonts w:hint="default" w:ascii="Times New Roman" w:hAnsi="Times New Roman" w:eastAsia="宋体" w:cs="Times New Roman"/>
                <w:color w:val="auto"/>
                <w:lang w:val="en-US" w:eastAsia="zh-CN"/>
              </w:rPr>
              <w:t>占污水厂处理能力的0.0</w:t>
            </w:r>
            <w:r>
              <w:rPr>
                <w:rFonts w:hint="default" w:ascii="Times New Roman" w:hAnsi="Times New Roman" w:cs="Times New Roman"/>
                <w:color w:val="auto"/>
                <w:lang w:val="en-US" w:eastAsia="zh-CN"/>
              </w:rPr>
              <w:t>045</w:t>
            </w:r>
            <w:r>
              <w:rPr>
                <w:rFonts w:hint="default" w:ascii="Times New Roman" w:hAnsi="Times New Roman" w:eastAsia="宋体" w:cs="Times New Roman"/>
                <w:color w:val="auto"/>
                <w:lang w:val="en-US" w:eastAsia="zh-CN"/>
              </w:rPr>
              <w:t>%。因此，根据污水厂的处理能力和现有、计划接管水量的统计，从水量上分析本项目废水接管至蚌埠市第二污水处理厂是可行的。</w:t>
            </w:r>
          </w:p>
          <w:p w14:paraId="4602C764">
            <w:pPr>
              <w:spacing w:line="360" w:lineRule="auto"/>
              <w:ind w:firstLine="480"/>
              <w:rPr>
                <w:rFonts w:hint="default" w:ascii="Times New Roman" w:hAnsi="Times New Roman" w:eastAsia="宋体" w:cs="Times New Roman"/>
                <w:b w:val="0"/>
                <w:bCs/>
                <w:color w:val="auto"/>
                <w:highlight w:val="none"/>
                <w:lang w:val="en-US" w:eastAsia="zh-CN"/>
              </w:rPr>
            </w:pPr>
            <w:r>
              <w:rPr>
                <w:rFonts w:hint="default" w:ascii="Times New Roman" w:hAnsi="Times New Roman" w:eastAsia="宋体" w:cs="Times New Roman"/>
                <w:color w:val="auto"/>
                <w:lang w:val="en-US" w:eastAsia="zh-CN"/>
              </w:rPr>
              <w:t>水质</w:t>
            </w:r>
            <w:r>
              <w:rPr>
                <w:rFonts w:hint="default" w:ascii="Times New Roman" w:hAnsi="Times New Roman" w:cs="Times New Roman"/>
                <w:color w:val="auto"/>
                <w:lang w:val="en-US" w:eastAsia="zh-CN"/>
              </w:rPr>
              <w:t>：</w:t>
            </w:r>
            <w:r>
              <w:rPr>
                <w:rFonts w:hint="default" w:ascii="Times New Roman" w:hAnsi="Times New Roman" w:eastAsia="宋体" w:cs="Times New Roman"/>
                <w:color w:val="auto"/>
                <w:lang w:val="en-US" w:eastAsia="zh-CN"/>
              </w:rPr>
              <w:t>本项目废水为生活污水，主要污染物为COD、</w:t>
            </w:r>
            <w:r>
              <w:rPr>
                <w:rFonts w:hint="default" w:ascii="Times New Roman" w:hAnsi="Times New Roman" w:cs="Times New Roman"/>
                <w:color w:val="auto"/>
                <w:lang w:val="en-US" w:eastAsia="zh-CN"/>
              </w:rPr>
              <w:t>BOD</w:t>
            </w:r>
            <w:r>
              <w:rPr>
                <w:rFonts w:hint="default" w:ascii="Times New Roman" w:hAnsi="Times New Roman" w:cs="Times New Roman"/>
                <w:color w:val="auto"/>
                <w:vertAlign w:val="subscript"/>
                <w:lang w:val="en-US" w:eastAsia="zh-CN"/>
              </w:rPr>
              <w:t>5</w:t>
            </w:r>
            <w:r>
              <w:rPr>
                <w:rFonts w:hint="default" w:ascii="Times New Roman" w:hAnsi="Times New Roman" w:cs="Times New Roman"/>
                <w:color w:val="auto"/>
                <w:lang w:val="en-US" w:eastAsia="zh-CN"/>
              </w:rPr>
              <w:t>、</w:t>
            </w:r>
            <w:r>
              <w:rPr>
                <w:rFonts w:hint="default" w:ascii="Times New Roman" w:hAnsi="Times New Roman" w:eastAsia="宋体" w:cs="Times New Roman"/>
                <w:color w:val="auto"/>
                <w:lang w:val="en-US" w:eastAsia="zh-CN"/>
              </w:rPr>
              <w:t>SS、氨氮等，生活污水经化粪池处理</w:t>
            </w:r>
            <w:r>
              <w:rPr>
                <w:rFonts w:hint="default" w:ascii="Times New Roman" w:hAnsi="Times New Roman" w:cs="Times New Roman"/>
                <w:color w:val="auto"/>
                <w:lang w:val="en-US" w:eastAsia="zh-CN"/>
              </w:rPr>
              <w:t>后与循环冷却水一同</w:t>
            </w:r>
            <w:r>
              <w:rPr>
                <w:rFonts w:hint="default" w:ascii="Times New Roman" w:hAnsi="Times New Roman" w:cs="Times New Roman"/>
                <w:bCs/>
                <w:color w:val="auto"/>
                <w:sz w:val="24"/>
                <w:lang w:eastAsia="zh-CN"/>
              </w:rPr>
              <w:t>排入</w:t>
            </w:r>
            <w:r>
              <w:rPr>
                <w:rFonts w:hint="default" w:ascii="Times New Roman" w:hAnsi="Times New Roman" w:eastAsia="宋体" w:cs="Times New Roman"/>
                <w:b w:val="0"/>
                <w:bCs/>
                <w:color w:val="auto"/>
                <w:highlight w:val="none"/>
                <w:lang w:val="en-US" w:eastAsia="zh-CN"/>
              </w:rPr>
              <w:t>蚌埠市第二污水处理厂，水质</w:t>
            </w:r>
            <w:r>
              <w:rPr>
                <w:rFonts w:hint="default" w:ascii="Times New Roman" w:hAnsi="Times New Roman" w:eastAsia="宋体" w:cs="Times New Roman"/>
                <w:color w:val="auto"/>
                <w:lang w:val="en-US" w:eastAsia="zh-CN"/>
              </w:rPr>
              <w:t>能达到第二污水厂的接管标准</w:t>
            </w:r>
            <w:r>
              <w:rPr>
                <w:rFonts w:hint="default" w:ascii="Times New Roman" w:hAnsi="Times New Roman" w:eastAsia="宋体" w:cs="Times New Roman"/>
                <w:b w:val="0"/>
                <w:bCs/>
                <w:color w:val="auto"/>
                <w:highlight w:val="none"/>
                <w:lang w:val="en-US" w:eastAsia="zh-CN"/>
              </w:rPr>
              <w:t>。</w:t>
            </w:r>
            <w:r>
              <w:rPr>
                <w:rFonts w:hint="default" w:ascii="Times New Roman" w:hAnsi="Times New Roman" w:eastAsia="宋体" w:cs="Times New Roman"/>
                <w:color w:val="auto"/>
                <w:lang w:val="en-US" w:eastAsia="zh-CN"/>
              </w:rPr>
              <w:t>进入第二污水处理厂深度处理能够做到达标排放，对地表水环境影响很小，不会降低项目所在区域地表水环境现有功能。</w:t>
            </w:r>
          </w:p>
          <w:p w14:paraId="14402DBA">
            <w:pPr>
              <w:pStyle w:val="7"/>
              <w:ind w:firstLine="480" w:firstLineChars="200"/>
              <w:rPr>
                <w:rFonts w:hint="default" w:ascii="Times New Roman" w:hAnsi="Times New Roman" w:eastAsia="宋体" w:cs="Times New Roman"/>
                <w:b w:val="0"/>
                <w:bCs/>
                <w:color w:val="auto"/>
                <w:highlight w:val="none"/>
                <w:lang w:val="en-US" w:eastAsia="zh-CN"/>
              </w:rPr>
            </w:pPr>
            <w:r>
              <w:rPr>
                <w:rFonts w:hint="default" w:ascii="Times New Roman" w:hAnsi="Times New Roman" w:eastAsia="宋体" w:cs="Times New Roman"/>
                <w:b w:val="0"/>
                <w:bCs/>
                <w:color w:val="auto"/>
                <w:highlight w:val="none"/>
                <w:lang w:val="en-US" w:eastAsia="zh-CN"/>
              </w:rPr>
              <w:t>综上，本项目污水接管至蚌埠市第二污水处理厂进行处理是可行的。</w:t>
            </w:r>
          </w:p>
          <w:p w14:paraId="02E6C920">
            <w:pPr>
              <w:pStyle w:val="67"/>
              <w:adjustRightInd/>
              <w:snapToGrid/>
              <w:ind w:firstLine="482"/>
              <w:rPr>
                <w:rFonts w:hint="default" w:ascii="Times New Roman" w:hAnsi="Times New Roman" w:eastAsia="宋体" w:cs="Times New Roman"/>
                <w:b/>
                <w:color w:val="auto"/>
                <w:szCs w:val="24"/>
                <w:lang w:val="en-US" w:eastAsia="zh-CN"/>
              </w:rPr>
            </w:pPr>
            <w:r>
              <w:rPr>
                <w:rFonts w:hint="default" w:ascii="Times New Roman" w:hAnsi="Times New Roman" w:eastAsia="宋体" w:cs="Times New Roman"/>
                <w:b/>
                <w:color w:val="auto"/>
                <w:szCs w:val="24"/>
                <w:lang w:val="en-US" w:eastAsia="zh-CN"/>
              </w:rPr>
              <w:t>3、监测计划</w:t>
            </w:r>
          </w:p>
          <w:p w14:paraId="1353C458">
            <w:pPr>
              <w:pStyle w:val="9"/>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本项目仅排放生活污水，经化粪池处理后进入</w:t>
            </w:r>
            <w:r>
              <w:rPr>
                <w:rFonts w:hint="default" w:ascii="Times New Roman" w:hAnsi="Times New Roman" w:cs="Times New Roman"/>
                <w:color w:val="auto"/>
                <w:lang w:val="en-US" w:eastAsia="zh-CN"/>
              </w:rPr>
              <w:t>蚌埠市</w:t>
            </w:r>
            <w:r>
              <w:rPr>
                <w:rFonts w:hint="default" w:ascii="Times New Roman" w:hAnsi="Times New Roman" w:eastAsia="宋体" w:cs="Times New Roman"/>
                <w:color w:val="auto"/>
                <w:lang w:val="en-US" w:eastAsia="zh-CN"/>
              </w:rPr>
              <w:t>第</w:t>
            </w:r>
            <w:r>
              <w:rPr>
                <w:rFonts w:hint="default" w:ascii="Times New Roman" w:hAnsi="Times New Roman" w:cs="Times New Roman"/>
                <w:color w:val="auto"/>
                <w:lang w:val="en-US" w:eastAsia="zh-CN"/>
              </w:rPr>
              <w:t>二</w:t>
            </w:r>
            <w:r>
              <w:rPr>
                <w:rFonts w:hint="default" w:ascii="Times New Roman" w:hAnsi="Times New Roman" w:cs="Times New Roman"/>
                <w:color w:val="auto"/>
                <w:highlight w:val="none"/>
                <w:lang w:eastAsia="zh-CN"/>
              </w:rPr>
              <w:t>污水处理厂</w:t>
            </w:r>
            <w:r>
              <w:rPr>
                <w:rFonts w:hint="default" w:ascii="Times New Roman" w:hAnsi="Times New Roman" w:cs="Times New Roman"/>
                <w:color w:val="auto"/>
                <w:highlight w:val="none"/>
              </w:rPr>
              <w:t>处理，属于间接排放，</w:t>
            </w:r>
            <w:r>
              <w:rPr>
                <w:rFonts w:hint="default" w:ascii="Times New Roman" w:hAnsi="Times New Roman" w:cs="Times New Roman"/>
                <w:color w:val="auto"/>
                <w:highlight w:val="none"/>
                <w:lang w:val="en-US" w:eastAsia="zh-CN"/>
              </w:rPr>
              <w:t>根据《排污单位自行监测技术指南 总则》（HJ819-2017）</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本项目废水监测计划如下：</w:t>
            </w:r>
          </w:p>
          <w:p w14:paraId="358DC805">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表4-1</w:t>
            </w:r>
            <w:r>
              <w:rPr>
                <w:rFonts w:hint="default" w:ascii="Times New Roman" w:hAnsi="Times New Roman" w:cs="Times New Roman"/>
                <w:b/>
                <w:color w:val="auto"/>
                <w:sz w:val="21"/>
                <w:szCs w:val="21"/>
                <w:lang w:val="en-US" w:eastAsia="zh-CN"/>
              </w:rPr>
              <w:t>0</w:t>
            </w:r>
            <w:r>
              <w:rPr>
                <w:rFonts w:hint="default" w:ascii="Times New Roman" w:hAnsi="Times New Roman" w:eastAsia="宋体" w:cs="Times New Roman"/>
                <w:b/>
                <w:color w:val="auto"/>
                <w:sz w:val="21"/>
                <w:szCs w:val="21"/>
                <w:lang w:val="en-US" w:eastAsia="zh-CN"/>
              </w:rPr>
              <w:t xml:space="preserve">  水污染物监测情况一览表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701"/>
              <w:gridCol w:w="3435"/>
              <w:gridCol w:w="1574"/>
            </w:tblGrid>
            <w:tr w14:paraId="7DFD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9" w:type="pct"/>
                  <w:tcBorders>
                    <w:tl2br w:val="nil"/>
                    <w:tr2bl w:val="nil"/>
                  </w:tcBorders>
                  <w:vAlign w:val="center"/>
                </w:tcPr>
                <w:p w14:paraId="1971F781">
                  <w:pPr>
                    <w:adjustRightInd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监测点位</w:t>
                  </w:r>
                </w:p>
              </w:tc>
              <w:tc>
                <w:tcPr>
                  <w:tcW w:w="1090" w:type="pct"/>
                  <w:tcBorders>
                    <w:tl2br w:val="nil"/>
                    <w:tr2bl w:val="nil"/>
                  </w:tcBorders>
                  <w:vAlign w:val="center"/>
                </w:tcPr>
                <w:p w14:paraId="0F7FF885">
                  <w:pPr>
                    <w:adjustRightInd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监测指标</w:t>
                  </w:r>
                </w:p>
              </w:tc>
              <w:tc>
                <w:tcPr>
                  <w:tcW w:w="2201" w:type="pct"/>
                  <w:tcBorders>
                    <w:tl2br w:val="nil"/>
                    <w:tr2bl w:val="nil"/>
                  </w:tcBorders>
                  <w:vAlign w:val="center"/>
                </w:tcPr>
                <w:p w14:paraId="16B0F279">
                  <w:pPr>
                    <w:adjustRightInd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执行标准</w:t>
                  </w:r>
                </w:p>
              </w:tc>
              <w:tc>
                <w:tcPr>
                  <w:tcW w:w="1008" w:type="pct"/>
                  <w:tcBorders>
                    <w:tl2br w:val="nil"/>
                    <w:tr2bl w:val="nil"/>
                  </w:tcBorders>
                  <w:vAlign w:val="center"/>
                </w:tcPr>
                <w:p w14:paraId="35C6BE8C">
                  <w:pPr>
                    <w:adjustRightInd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最低监测频次</w:t>
                  </w:r>
                </w:p>
              </w:tc>
            </w:tr>
            <w:tr w14:paraId="2065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9" w:type="pct"/>
                  <w:tcBorders>
                    <w:tl2br w:val="nil"/>
                    <w:tr2bl w:val="nil"/>
                  </w:tcBorders>
                  <w:vAlign w:val="center"/>
                </w:tcPr>
                <w:p w14:paraId="1F9EAFCC">
                  <w:pPr>
                    <w:adjustRightInd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总排口</w:t>
                  </w:r>
                </w:p>
              </w:tc>
              <w:tc>
                <w:tcPr>
                  <w:tcW w:w="1090" w:type="pct"/>
                  <w:tcBorders>
                    <w:tl2br w:val="nil"/>
                    <w:tr2bl w:val="nil"/>
                  </w:tcBorders>
                  <w:vAlign w:val="center"/>
                </w:tcPr>
                <w:p w14:paraId="17C5AEA0">
                  <w:pPr>
                    <w:adjustRightIn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pH、</w:t>
                  </w:r>
                  <w:r>
                    <w:rPr>
                      <w:rFonts w:hint="default" w:ascii="Times New Roman" w:hAnsi="Times New Roman" w:eastAsia="宋体" w:cs="Times New Roman"/>
                      <w:color w:val="auto"/>
                      <w:kern w:val="0"/>
                      <w:sz w:val="21"/>
                      <w:szCs w:val="21"/>
                      <w:lang w:val="en-US" w:eastAsia="zh-CN" w:bidi="ar-SA"/>
                    </w:rPr>
                    <w:t>COD、氨氮</w:t>
                  </w:r>
                  <w:r>
                    <w:rPr>
                      <w:rFonts w:hint="default" w:ascii="Times New Roman" w:hAnsi="Times New Roman" w:cs="Times New Roman"/>
                      <w:color w:val="auto"/>
                      <w:kern w:val="0"/>
                      <w:sz w:val="21"/>
                      <w:szCs w:val="21"/>
                      <w:lang w:val="en-US" w:eastAsia="zh-CN" w:bidi="ar-SA"/>
                    </w:rPr>
                    <w:t>、生化需氧量、SS</w:t>
                  </w:r>
                </w:p>
              </w:tc>
              <w:tc>
                <w:tcPr>
                  <w:tcW w:w="2201" w:type="pct"/>
                  <w:tcBorders>
                    <w:tl2br w:val="nil"/>
                    <w:tr2bl w:val="nil"/>
                  </w:tcBorders>
                  <w:vAlign w:val="center"/>
                </w:tcPr>
                <w:p w14:paraId="23D4FA7F">
                  <w:pPr>
                    <w:adjustRightInd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highlight w:val="none"/>
                      <w:lang w:val="en-US" w:eastAsia="zh-CN"/>
                    </w:rPr>
                    <w:t>蚌埠市第二</w:t>
                  </w:r>
                  <w:r>
                    <w:rPr>
                      <w:rFonts w:hint="default" w:ascii="Times New Roman" w:hAnsi="Times New Roman" w:cs="Times New Roman"/>
                      <w:color w:val="auto"/>
                      <w:sz w:val="21"/>
                      <w:szCs w:val="21"/>
                      <w:highlight w:val="none"/>
                      <w:lang w:eastAsia="zh-CN"/>
                    </w:rPr>
                    <w:t>污水处理厂</w:t>
                  </w:r>
                  <w:r>
                    <w:rPr>
                      <w:rFonts w:hint="default" w:ascii="Times New Roman" w:hAnsi="Times New Roman" w:cs="Times New Roman"/>
                      <w:color w:val="auto"/>
                      <w:kern w:val="0"/>
                      <w:sz w:val="21"/>
                      <w:szCs w:val="21"/>
                    </w:rPr>
                    <w:t>接管标准及污水综合排放标准（GB8978-1996）中表4三级标准</w:t>
                  </w:r>
                </w:p>
              </w:tc>
              <w:tc>
                <w:tcPr>
                  <w:tcW w:w="1008" w:type="pct"/>
                  <w:tcBorders>
                    <w:tl2br w:val="nil"/>
                    <w:tr2bl w:val="nil"/>
                  </w:tcBorders>
                  <w:vAlign w:val="center"/>
                </w:tcPr>
                <w:p w14:paraId="5AC221F0">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1次/年</w:t>
                  </w:r>
                </w:p>
              </w:tc>
            </w:tr>
          </w:tbl>
          <w:p w14:paraId="5D52543D">
            <w:pPr>
              <w:keepNext/>
              <w:keepLines/>
              <w:widowControl w:val="0"/>
              <w:numPr>
                <w:ilvl w:val="0"/>
                <w:numId w:val="6"/>
              </w:numPr>
              <w:spacing w:line="360" w:lineRule="auto"/>
              <w:ind w:left="0" w:leftChars="0" w:firstLine="482" w:firstLineChars="200"/>
              <w:jc w:val="left"/>
              <w:outlineLvl w:val="2"/>
              <w:rPr>
                <w:rFonts w:hint="default" w:ascii="Times New Roman" w:hAnsi="Times New Roman" w:eastAsia="宋体" w:cs="Times New Roman"/>
                <w:b/>
                <w:bCs/>
                <w:color w:val="auto"/>
                <w:kern w:val="2"/>
                <w:sz w:val="24"/>
                <w:szCs w:val="30"/>
                <w:highlight w:val="none"/>
                <w:lang w:val="en-US" w:eastAsia="zh-CN" w:bidi="ar-SA"/>
              </w:rPr>
            </w:pPr>
            <w:r>
              <w:rPr>
                <w:rFonts w:hint="default" w:ascii="Times New Roman" w:hAnsi="Times New Roman" w:eastAsia="宋体" w:cs="Times New Roman"/>
                <w:b/>
                <w:bCs/>
                <w:color w:val="auto"/>
                <w:kern w:val="2"/>
                <w:sz w:val="24"/>
                <w:szCs w:val="30"/>
                <w:highlight w:val="none"/>
                <w:lang w:val="en-US" w:eastAsia="zh-CN" w:bidi="ar-SA"/>
              </w:rPr>
              <w:t>噪声</w:t>
            </w:r>
          </w:p>
          <w:p w14:paraId="15F69FE9">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1、噪声污染源强分析</w:t>
            </w:r>
          </w:p>
          <w:p w14:paraId="7ACCF1B6">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w:t>
            </w:r>
            <w:r>
              <w:rPr>
                <w:rFonts w:hint="default" w:ascii="Times New Roman" w:hAnsi="Times New Roman" w:cs="Times New Roman"/>
                <w:color w:val="auto"/>
                <w:highlight w:val="none"/>
                <w:lang w:eastAsia="zh-CN"/>
              </w:rPr>
              <w:t>主要</w:t>
            </w:r>
            <w:r>
              <w:rPr>
                <w:rFonts w:hint="default" w:ascii="Times New Roman" w:hAnsi="Times New Roman" w:cs="Times New Roman"/>
                <w:color w:val="auto"/>
                <w:highlight w:val="none"/>
              </w:rPr>
              <w:t>噪声源强如下。</w:t>
            </w:r>
          </w:p>
          <w:p w14:paraId="452FE345">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表4-1</w:t>
            </w:r>
            <w:r>
              <w:rPr>
                <w:rFonts w:hint="default" w:ascii="Times New Roman" w:hAnsi="Times New Roman" w:cs="Times New Roman"/>
                <w:b/>
                <w:color w:val="auto"/>
                <w:sz w:val="21"/>
                <w:szCs w:val="21"/>
                <w:lang w:val="en-US" w:eastAsia="zh-CN"/>
              </w:rPr>
              <w:t>1</w:t>
            </w:r>
            <w:r>
              <w:rPr>
                <w:rFonts w:hint="default" w:ascii="Times New Roman" w:hAnsi="Times New Roman" w:eastAsia="宋体" w:cs="Times New Roman"/>
                <w:b/>
                <w:color w:val="auto"/>
                <w:sz w:val="21"/>
                <w:szCs w:val="21"/>
                <w:lang w:val="en-US" w:eastAsia="zh-CN"/>
              </w:rPr>
              <w:t xml:space="preserve">  项目运营期主要设备室内噪声源强表  单位：Leq[dB（A）]</w:t>
            </w:r>
          </w:p>
          <w:tbl>
            <w:tblPr>
              <w:tblStyle w:val="2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900"/>
              <w:gridCol w:w="777"/>
              <w:gridCol w:w="752"/>
              <w:gridCol w:w="722"/>
              <w:gridCol w:w="334"/>
              <w:gridCol w:w="1174"/>
              <w:gridCol w:w="722"/>
              <w:gridCol w:w="1264"/>
              <w:gridCol w:w="708"/>
            </w:tblGrid>
            <w:tr w14:paraId="0A3B7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84" w:type="pct"/>
                  <w:vMerge w:val="restart"/>
                  <w:noWrap w:val="0"/>
                  <w:vAlign w:val="center"/>
                </w:tcPr>
                <w:p w14:paraId="757ED907">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577" w:type="pct"/>
                  <w:vMerge w:val="restart"/>
                  <w:noWrap w:val="0"/>
                  <w:vAlign w:val="center"/>
                </w:tcPr>
                <w:p w14:paraId="7CC4F798">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设备名称</w:t>
                  </w:r>
                </w:p>
              </w:tc>
              <w:tc>
                <w:tcPr>
                  <w:tcW w:w="498" w:type="pct"/>
                  <w:vMerge w:val="restart"/>
                  <w:noWrap w:val="0"/>
                  <w:vAlign w:val="center"/>
                </w:tcPr>
                <w:p w14:paraId="5C87830C">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数量（台）</w:t>
                  </w:r>
                </w:p>
              </w:tc>
              <w:tc>
                <w:tcPr>
                  <w:tcW w:w="1159" w:type="pct"/>
                  <w:gridSpan w:val="3"/>
                  <w:noWrap w:val="0"/>
                  <w:vAlign w:val="center"/>
                </w:tcPr>
                <w:p w14:paraId="5DD5964A">
                  <w:pPr>
                    <w:adjustRightIn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坐标</w:t>
                  </w:r>
                </w:p>
              </w:tc>
              <w:tc>
                <w:tcPr>
                  <w:tcW w:w="752" w:type="pct"/>
                  <w:vMerge w:val="restart"/>
                  <w:noWrap w:val="0"/>
                  <w:vAlign w:val="center"/>
                </w:tcPr>
                <w:p w14:paraId="66685AA7">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噪声源强（声压级）</w:t>
                  </w:r>
                </w:p>
              </w:tc>
              <w:tc>
                <w:tcPr>
                  <w:tcW w:w="463" w:type="pct"/>
                  <w:vMerge w:val="restart"/>
                  <w:noWrap w:val="0"/>
                  <w:vAlign w:val="center"/>
                </w:tcPr>
                <w:p w14:paraId="7DB96EC7">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运行时段</w:t>
                  </w:r>
                </w:p>
              </w:tc>
              <w:tc>
                <w:tcPr>
                  <w:tcW w:w="810" w:type="pct"/>
                  <w:vMerge w:val="restart"/>
                  <w:noWrap w:val="0"/>
                  <w:vAlign w:val="center"/>
                </w:tcPr>
                <w:p w14:paraId="4B6078FF">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拟采取的减震降噪措施</w:t>
                  </w:r>
                </w:p>
              </w:tc>
              <w:tc>
                <w:tcPr>
                  <w:tcW w:w="454" w:type="pct"/>
                  <w:vMerge w:val="restart"/>
                  <w:noWrap w:val="0"/>
                  <w:vAlign w:val="center"/>
                </w:tcPr>
                <w:p w14:paraId="3414A7AF">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降噪效果</w:t>
                  </w:r>
                </w:p>
              </w:tc>
            </w:tr>
            <w:tr w14:paraId="01E1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84" w:type="pct"/>
                  <w:vMerge w:val="continue"/>
                  <w:noWrap w:val="0"/>
                  <w:vAlign w:val="center"/>
                </w:tcPr>
                <w:p w14:paraId="725F2F34">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577" w:type="pct"/>
                  <w:vMerge w:val="continue"/>
                  <w:noWrap w:val="0"/>
                  <w:vAlign w:val="center"/>
                </w:tcPr>
                <w:p w14:paraId="78669CF8">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98" w:type="pct"/>
                  <w:vMerge w:val="continue"/>
                  <w:noWrap w:val="0"/>
                  <w:vAlign w:val="center"/>
                </w:tcPr>
                <w:p w14:paraId="4F24B2D8">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82" w:type="pct"/>
                  <w:noWrap w:val="0"/>
                  <w:vAlign w:val="center"/>
                </w:tcPr>
                <w:p w14:paraId="20AE164F">
                  <w:pPr>
                    <w:adjustRightIn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X</w:t>
                  </w:r>
                </w:p>
              </w:tc>
              <w:tc>
                <w:tcPr>
                  <w:tcW w:w="463" w:type="pct"/>
                  <w:noWrap w:val="0"/>
                  <w:vAlign w:val="center"/>
                </w:tcPr>
                <w:p w14:paraId="0CD09751">
                  <w:pPr>
                    <w:adjustRightIn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Y</w:t>
                  </w:r>
                </w:p>
              </w:tc>
              <w:tc>
                <w:tcPr>
                  <w:tcW w:w="214" w:type="pct"/>
                  <w:noWrap w:val="0"/>
                  <w:vAlign w:val="center"/>
                </w:tcPr>
                <w:p w14:paraId="7D44C43A">
                  <w:pPr>
                    <w:adjustRightIn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Z</w:t>
                  </w:r>
                </w:p>
              </w:tc>
              <w:tc>
                <w:tcPr>
                  <w:tcW w:w="752" w:type="pct"/>
                  <w:vMerge w:val="continue"/>
                  <w:noWrap w:val="0"/>
                  <w:vAlign w:val="center"/>
                </w:tcPr>
                <w:p w14:paraId="38E952FC">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63" w:type="pct"/>
                  <w:vMerge w:val="continue"/>
                  <w:noWrap w:val="0"/>
                  <w:vAlign w:val="center"/>
                </w:tcPr>
                <w:p w14:paraId="674CF36F">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810" w:type="pct"/>
                  <w:vMerge w:val="continue"/>
                  <w:noWrap w:val="0"/>
                  <w:vAlign w:val="center"/>
                </w:tcPr>
                <w:p w14:paraId="7E01ABAA">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54" w:type="pct"/>
                  <w:vMerge w:val="continue"/>
                  <w:noWrap w:val="0"/>
                  <w:vAlign w:val="center"/>
                </w:tcPr>
                <w:p w14:paraId="48936346">
                  <w:pPr>
                    <w:adjustRightInd w:val="0"/>
                    <w:spacing w:line="240" w:lineRule="auto"/>
                    <w:ind w:firstLine="0" w:firstLineChars="0"/>
                    <w:jc w:val="center"/>
                    <w:rPr>
                      <w:rFonts w:hint="default" w:ascii="Times New Roman" w:hAnsi="Times New Roman" w:eastAsia="宋体" w:cs="Times New Roman"/>
                      <w:color w:val="auto"/>
                      <w:sz w:val="21"/>
                      <w:szCs w:val="21"/>
                    </w:rPr>
                  </w:pPr>
                </w:p>
              </w:tc>
            </w:tr>
            <w:tr w14:paraId="5CB9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84" w:type="pct"/>
                  <w:noWrap w:val="0"/>
                  <w:vAlign w:val="center"/>
                </w:tcPr>
                <w:p w14:paraId="08212F5D">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577" w:type="pct"/>
                  <w:noWrap w:val="0"/>
                  <w:vAlign w:val="center"/>
                </w:tcPr>
                <w:p w14:paraId="4061BC76">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highlight w:val="none"/>
                      <w:lang w:val="en-US" w:eastAsia="zh-CN"/>
                    </w:rPr>
                    <w:t>注塑机</w:t>
                  </w:r>
                </w:p>
              </w:tc>
              <w:tc>
                <w:tcPr>
                  <w:tcW w:w="498" w:type="pct"/>
                  <w:noWrap w:val="0"/>
                  <w:vAlign w:val="center"/>
                </w:tcPr>
                <w:p w14:paraId="3B749B11">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482" w:type="pct"/>
                  <w:noWrap w:val="0"/>
                  <w:vAlign w:val="center"/>
                </w:tcPr>
                <w:p w14:paraId="0DDA5952">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18-25</w:t>
                  </w:r>
                </w:p>
              </w:tc>
              <w:tc>
                <w:tcPr>
                  <w:tcW w:w="463" w:type="pct"/>
                  <w:noWrap w:val="0"/>
                  <w:vAlign w:val="center"/>
                </w:tcPr>
                <w:p w14:paraId="394B2463">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29-50</w:t>
                  </w:r>
                </w:p>
              </w:tc>
              <w:tc>
                <w:tcPr>
                  <w:tcW w:w="214" w:type="pct"/>
                  <w:noWrap w:val="0"/>
                  <w:vAlign w:val="center"/>
                </w:tcPr>
                <w:p w14:paraId="15A97B02">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752" w:type="pct"/>
                  <w:noWrap w:val="0"/>
                  <w:vAlign w:val="center"/>
                </w:tcPr>
                <w:p w14:paraId="2778846D">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75</w:t>
                  </w:r>
                </w:p>
              </w:tc>
              <w:tc>
                <w:tcPr>
                  <w:tcW w:w="463" w:type="pct"/>
                  <w:vMerge w:val="restart"/>
                  <w:noWrap w:val="0"/>
                  <w:vAlign w:val="center"/>
                </w:tcPr>
                <w:p w14:paraId="7B080124">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6:00-22:00</w:t>
                  </w:r>
                </w:p>
              </w:tc>
              <w:tc>
                <w:tcPr>
                  <w:tcW w:w="810" w:type="pct"/>
                  <w:vMerge w:val="restart"/>
                  <w:noWrap w:val="0"/>
                  <w:vAlign w:val="center"/>
                </w:tcPr>
                <w:p w14:paraId="49C01B36">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设备减振、车间隔声</w:t>
                  </w:r>
                </w:p>
              </w:tc>
              <w:tc>
                <w:tcPr>
                  <w:tcW w:w="454" w:type="pct"/>
                  <w:noWrap w:val="0"/>
                  <w:vAlign w:val="center"/>
                </w:tcPr>
                <w:p w14:paraId="5AF40CA3">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15</w:t>
                  </w:r>
                </w:p>
              </w:tc>
            </w:tr>
            <w:tr w14:paraId="7257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4" w:type="pct"/>
                  <w:noWrap w:val="0"/>
                  <w:vAlign w:val="center"/>
                </w:tcPr>
                <w:p w14:paraId="520F6F22">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577" w:type="pct"/>
                  <w:noWrap w:val="0"/>
                  <w:vAlign w:val="center"/>
                </w:tcPr>
                <w:p w14:paraId="6E01D2B3">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highlight w:val="none"/>
                      <w:lang w:val="en-US" w:eastAsia="zh-CN"/>
                    </w:rPr>
                    <w:t>混料机</w:t>
                  </w:r>
                </w:p>
              </w:tc>
              <w:tc>
                <w:tcPr>
                  <w:tcW w:w="498" w:type="pct"/>
                  <w:noWrap w:val="0"/>
                  <w:vAlign w:val="center"/>
                </w:tcPr>
                <w:p w14:paraId="3F9632C7">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482" w:type="pct"/>
                  <w:noWrap w:val="0"/>
                  <w:vAlign w:val="center"/>
                </w:tcPr>
                <w:p w14:paraId="5087C054">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34</w:t>
                  </w:r>
                </w:p>
              </w:tc>
              <w:tc>
                <w:tcPr>
                  <w:tcW w:w="463" w:type="pct"/>
                  <w:noWrap w:val="0"/>
                  <w:vAlign w:val="center"/>
                </w:tcPr>
                <w:p w14:paraId="05FC227A">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214" w:type="pct"/>
                  <w:noWrap w:val="0"/>
                  <w:vAlign w:val="center"/>
                </w:tcPr>
                <w:p w14:paraId="24FBA1B0">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752" w:type="pct"/>
                  <w:noWrap w:val="0"/>
                  <w:vAlign w:val="center"/>
                </w:tcPr>
                <w:p w14:paraId="5DD7639F">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80</w:t>
                  </w:r>
                </w:p>
              </w:tc>
              <w:tc>
                <w:tcPr>
                  <w:tcW w:w="463" w:type="pct"/>
                  <w:vMerge w:val="continue"/>
                  <w:noWrap w:val="0"/>
                  <w:vAlign w:val="center"/>
                </w:tcPr>
                <w:p w14:paraId="2B516AC7">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810" w:type="pct"/>
                  <w:vMerge w:val="continue"/>
                  <w:noWrap w:val="0"/>
                  <w:vAlign w:val="center"/>
                </w:tcPr>
                <w:p w14:paraId="158F3EB5">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54" w:type="pct"/>
                  <w:noWrap w:val="0"/>
                  <w:vAlign w:val="center"/>
                </w:tcPr>
                <w:p w14:paraId="7460C2DB">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15</w:t>
                  </w:r>
                </w:p>
              </w:tc>
            </w:tr>
            <w:tr w14:paraId="73CC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4" w:type="pct"/>
                  <w:noWrap w:val="0"/>
                  <w:vAlign w:val="center"/>
                </w:tcPr>
                <w:p w14:paraId="46CF2CFB">
                  <w:pPr>
                    <w:adjustRightIn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w:t>
                  </w:r>
                </w:p>
              </w:tc>
              <w:tc>
                <w:tcPr>
                  <w:tcW w:w="577" w:type="pct"/>
                  <w:noWrap w:val="0"/>
                  <w:vAlign w:val="center"/>
                </w:tcPr>
                <w:p w14:paraId="4274E6AB">
                  <w:pPr>
                    <w:adjustRightIn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破碎机</w:t>
                  </w:r>
                </w:p>
              </w:tc>
              <w:tc>
                <w:tcPr>
                  <w:tcW w:w="498" w:type="pct"/>
                  <w:noWrap w:val="0"/>
                  <w:vAlign w:val="center"/>
                </w:tcPr>
                <w:p w14:paraId="36C33A13">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p>
              </w:tc>
              <w:tc>
                <w:tcPr>
                  <w:tcW w:w="482" w:type="pct"/>
                  <w:noWrap w:val="0"/>
                  <w:vAlign w:val="center"/>
                </w:tcPr>
                <w:p w14:paraId="11DA8E8F">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15</w:t>
                  </w:r>
                </w:p>
              </w:tc>
              <w:tc>
                <w:tcPr>
                  <w:tcW w:w="463" w:type="pct"/>
                  <w:noWrap w:val="0"/>
                  <w:vAlign w:val="center"/>
                </w:tcPr>
                <w:p w14:paraId="2B674973">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30</w:t>
                  </w:r>
                </w:p>
              </w:tc>
              <w:tc>
                <w:tcPr>
                  <w:tcW w:w="214" w:type="pct"/>
                  <w:noWrap w:val="0"/>
                  <w:vAlign w:val="center"/>
                </w:tcPr>
                <w:p w14:paraId="0F17CF96">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p>
              </w:tc>
              <w:tc>
                <w:tcPr>
                  <w:tcW w:w="752" w:type="pct"/>
                  <w:noWrap w:val="0"/>
                  <w:vAlign w:val="center"/>
                </w:tcPr>
                <w:p w14:paraId="3383D6B0">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70</w:t>
                  </w:r>
                </w:p>
              </w:tc>
              <w:tc>
                <w:tcPr>
                  <w:tcW w:w="463" w:type="pct"/>
                  <w:vMerge w:val="continue"/>
                  <w:noWrap w:val="0"/>
                  <w:vAlign w:val="center"/>
                </w:tcPr>
                <w:p w14:paraId="6938646A">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810" w:type="pct"/>
                  <w:vMerge w:val="continue"/>
                  <w:noWrap w:val="0"/>
                  <w:vAlign w:val="center"/>
                </w:tcPr>
                <w:p w14:paraId="4A00494E">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54" w:type="pct"/>
                  <w:noWrap w:val="0"/>
                  <w:vAlign w:val="center"/>
                </w:tcPr>
                <w:p w14:paraId="3FD61FDA">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15</w:t>
                  </w:r>
                </w:p>
              </w:tc>
            </w:tr>
          </w:tbl>
          <w:p w14:paraId="2973C242">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表4-1</w:t>
            </w:r>
            <w:r>
              <w:rPr>
                <w:rFonts w:hint="default" w:ascii="Times New Roman" w:hAnsi="Times New Roman" w:cs="Times New Roman"/>
                <w:b/>
                <w:color w:val="auto"/>
                <w:sz w:val="21"/>
                <w:szCs w:val="21"/>
                <w:lang w:val="en-US" w:eastAsia="zh-CN"/>
              </w:rPr>
              <w:t>2</w:t>
            </w:r>
            <w:r>
              <w:rPr>
                <w:rFonts w:hint="default" w:ascii="Times New Roman" w:hAnsi="Times New Roman" w:eastAsia="宋体" w:cs="Times New Roman"/>
                <w:b/>
                <w:color w:val="auto"/>
                <w:sz w:val="21"/>
                <w:szCs w:val="21"/>
                <w:lang w:val="en-US" w:eastAsia="zh-CN"/>
              </w:rPr>
              <w:t xml:space="preserve">  项目运营期主要生产设备室外噪声源强表  单位：Leq[dB（A）]</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974"/>
              <w:gridCol w:w="471"/>
              <w:gridCol w:w="463"/>
              <w:gridCol w:w="470"/>
              <w:gridCol w:w="541"/>
              <w:gridCol w:w="1165"/>
              <w:gridCol w:w="1135"/>
              <w:gridCol w:w="1435"/>
              <w:gridCol w:w="653"/>
            </w:tblGrid>
            <w:tr w14:paraId="4C0A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315" w:type="pct"/>
                  <w:vMerge w:val="restart"/>
                  <w:noWrap w:val="0"/>
                  <w:vAlign w:val="center"/>
                </w:tcPr>
                <w:p w14:paraId="110C0A45">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624" w:type="pct"/>
                  <w:vMerge w:val="restart"/>
                  <w:noWrap w:val="0"/>
                  <w:vAlign w:val="center"/>
                </w:tcPr>
                <w:p w14:paraId="5C9AA58E">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设备名称</w:t>
                  </w:r>
                </w:p>
              </w:tc>
              <w:tc>
                <w:tcPr>
                  <w:tcW w:w="301" w:type="pct"/>
                  <w:vMerge w:val="restart"/>
                  <w:noWrap w:val="0"/>
                  <w:vAlign w:val="center"/>
                </w:tcPr>
                <w:p w14:paraId="57D3D008">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数量</w:t>
                  </w:r>
                </w:p>
              </w:tc>
              <w:tc>
                <w:tcPr>
                  <w:tcW w:w="944" w:type="pct"/>
                  <w:gridSpan w:val="3"/>
                  <w:noWrap w:val="0"/>
                  <w:vAlign w:val="center"/>
                </w:tcPr>
                <w:p w14:paraId="4146CD5A">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坐标</w:t>
                  </w:r>
                </w:p>
              </w:tc>
              <w:tc>
                <w:tcPr>
                  <w:tcW w:w="746" w:type="pct"/>
                  <w:vMerge w:val="restart"/>
                  <w:noWrap w:val="0"/>
                  <w:vAlign w:val="center"/>
                </w:tcPr>
                <w:p w14:paraId="259BEEBC">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噪声源强（声压级）</w:t>
                  </w:r>
                </w:p>
              </w:tc>
              <w:tc>
                <w:tcPr>
                  <w:tcW w:w="727" w:type="pct"/>
                  <w:vMerge w:val="restart"/>
                  <w:noWrap w:val="0"/>
                  <w:vAlign w:val="center"/>
                </w:tcPr>
                <w:p w14:paraId="61B00B7F">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运行时段</w:t>
                  </w:r>
                </w:p>
              </w:tc>
              <w:tc>
                <w:tcPr>
                  <w:tcW w:w="919" w:type="pct"/>
                  <w:vMerge w:val="restart"/>
                  <w:noWrap w:val="0"/>
                  <w:vAlign w:val="center"/>
                </w:tcPr>
                <w:p w14:paraId="4FB92A46">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拟采取减振降噪措施</w:t>
                  </w:r>
                </w:p>
              </w:tc>
              <w:tc>
                <w:tcPr>
                  <w:tcW w:w="418" w:type="pct"/>
                  <w:vMerge w:val="restart"/>
                  <w:noWrap w:val="0"/>
                  <w:vAlign w:val="center"/>
                </w:tcPr>
                <w:p w14:paraId="38A44CE4">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降噪效果</w:t>
                  </w:r>
                </w:p>
              </w:tc>
            </w:tr>
            <w:tr w14:paraId="3303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15" w:type="pct"/>
                  <w:vMerge w:val="continue"/>
                  <w:noWrap w:val="0"/>
                  <w:vAlign w:val="center"/>
                </w:tcPr>
                <w:p w14:paraId="34D698F0">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624" w:type="pct"/>
                  <w:vMerge w:val="continue"/>
                  <w:noWrap w:val="0"/>
                  <w:vAlign w:val="center"/>
                </w:tcPr>
                <w:p w14:paraId="2433BE80">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301" w:type="pct"/>
                  <w:vMerge w:val="continue"/>
                  <w:noWrap w:val="0"/>
                  <w:vAlign w:val="center"/>
                </w:tcPr>
                <w:p w14:paraId="0892A78D">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296" w:type="pct"/>
                  <w:noWrap w:val="0"/>
                  <w:vAlign w:val="center"/>
                </w:tcPr>
                <w:p w14:paraId="08883632">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X</w:t>
                  </w:r>
                </w:p>
              </w:tc>
              <w:tc>
                <w:tcPr>
                  <w:tcW w:w="301" w:type="pct"/>
                  <w:noWrap w:val="0"/>
                  <w:vAlign w:val="center"/>
                </w:tcPr>
                <w:p w14:paraId="0988D639">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Y</w:t>
                  </w:r>
                </w:p>
              </w:tc>
              <w:tc>
                <w:tcPr>
                  <w:tcW w:w="346" w:type="pct"/>
                  <w:noWrap w:val="0"/>
                  <w:vAlign w:val="center"/>
                </w:tcPr>
                <w:p w14:paraId="3DF42ADB">
                  <w:pPr>
                    <w:adjustRightIn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Z</w:t>
                  </w:r>
                </w:p>
              </w:tc>
              <w:tc>
                <w:tcPr>
                  <w:tcW w:w="746" w:type="pct"/>
                  <w:vMerge w:val="continue"/>
                  <w:noWrap w:val="0"/>
                  <w:vAlign w:val="center"/>
                </w:tcPr>
                <w:p w14:paraId="6B5977BB">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727" w:type="pct"/>
                  <w:vMerge w:val="continue"/>
                  <w:noWrap w:val="0"/>
                  <w:vAlign w:val="center"/>
                </w:tcPr>
                <w:p w14:paraId="4DB3E248">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919" w:type="pct"/>
                  <w:vMerge w:val="continue"/>
                  <w:noWrap w:val="0"/>
                  <w:vAlign w:val="center"/>
                </w:tcPr>
                <w:p w14:paraId="41C1A0BA">
                  <w:pPr>
                    <w:adjustRightInd w:val="0"/>
                    <w:spacing w:line="240" w:lineRule="auto"/>
                    <w:ind w:firstLine="0" w:firstLineChars="0"/>
                    <w:jc w:val="center"/>
                    <w:rPr>
                      <w:rFonts w:hint="default" w:ascii="Times New Roman" w:hAnsi="Times New Roman" w:eastAsia="宋体" w:cs="Times New Roman"/>
                      <w:color w:val="auto"/>
                      <w:sz w:val="21"/>
                      <w:szCs w:val="21"/>
                    </w:rPr>
                  </w:pPr>
                </w:p>
              </w:tc>
              <w:tc>
                <w:tcPr>
                  <w:tcW w:w="418" w:type="pct"/>
                  <w:vMerge w:val="continue"/>
                  <w:noWrap w:val="0"/>
                  <w:vAlign w:val="center"/>
                </w:tcPr>
                <w:p w14:paraId="7B907D9E">
                  <w:pPr>
                    <w:adjustRightInd w:val="0"/>
                    <w:spacing w:line="240" w:lineRule="auto"/>
                    <w:ind w:firstLine="0" w:firstLineChars="0"/>
                    <w:jc w:val="center"/>
                    <w:rPr>
                      <w:rFonts w:hint="default" w:ascii="Times New Roman" w:hAnsi="Times New Roman" w:eastAsia="宋体" w:cs="Times New Roman"/>
                      <w:color w:val="auto"/>
                      <w:sz w:val="21"/>
                      <w:szCs w:val="21"/>
                    </w:rPr>
                  </w:pPr>
                </w:p>
              </w:tc>
            </w:tr>
            <w:tr w14:paraId="527E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5" w:type="pct"/>
                  <w:noWrap w:val="0"/>
                  <w:vAlign w:val="center"/>
                </w:tcPr>
                <w:p w14:paraId="344AF674">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624" w:type="pct"/>
                  <w:noWrap w:val="0"/>
                  <w:vAlign w:val="center"/>
                </w:tcPr>
                <w:p w14:paraId="346E40A7">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风机</w:t>
                  </w:r>
                </w:p>
              </w:tc>
              <w:tc>
                <w:tcPr>
                  <w:tcW w:w="301" w:type="pct"/>
                  <w:noWrap w:val="0"/>
                  <w:vAlign w:val="center"/>
                </w:tcPr>
                <w:p w14:paraId="6F276E7F">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296" w:type="pct"/>
                  <w:noWrap w:val="0"/>
                  <w:vAlign w:val="center"/>
                </w:tcPr>
                <w:p w14:paraId="78EBEA1C">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35</w:t>
                  </w:r>
                </w:p>
              </w:tc>
              <w:tc>
                <w:tcPr>
                  <w:tcW w:w="301" w:type="pct"/>
                  <w:noWrap w:val="0"/>
                  <w:vAlign w:val="center"/>
                </w:tcPr>
                <w:p w14:paraId="7C504279">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346" w:type="pct"/>
                  <w:noWrap w:val="0"/>
                  <w:vAlign w:val="center"/>
                </w:tcPr>
                <w:p w14:paraId="0656B002">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15</w:t>
                  </w:r>
                </w:p>
              </w:tc>
              <w:tc>
                <w:tcPr>
                  <w:tcW w:w="746" w:type="pct"/>
                  <w:noWrap w:val="0"/>
                  <w:vAlign w:val="center"/>
                </w:tcPr>
                <w:p w14:paraId="7A4D60ED">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90</w:t>
                  </w:r>
                </w:p>
              </w:tc>
              <w:tc>
                <w:tcPr>
                  <w:tcW w:w="727" w:type="pct"/>
                  <w:vMerge w:val="restart"/>
                  <w:noWrap w:val="0"/>
                  <w:vAlign w:val="center"/>
                </w:tcPr>
                <w:p w14:paraId="54BBC510">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6:00-22:00</w:t>
                  </w:r>
                </w:p>
              </w:tc>
              <w:tc>
                <w:tcPr>
                  <w:tcW w:w="919" w:type="pct"/>
                  <w:vMerge w:val="restart"/>
                  <w:noWrap w:val="0"/>
                  <w:vAlign w:val="center"/>
                </w:tcPr>
                <w:p w14:paraId="61D9C787">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减振、隔声罩、消声</w:t>
                  </w:r>
                </w:p>
              </w:tc>
              <w:tc>
                <w:tcPr>
                  <w:tcW w:w="418" w:type="pct"/>
                  <w:noWrap w:val="0"/>
                  <w:vAlign w:val="center"/>
                </w:tcPr>
                <w:p w14:paraId="2F715C45">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15</w:t>
                  </w:r>
                </w:p>
              </w:tc>
            </w:tr>
            <w:tr w14:paraId="781D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5" w:type="pct"/>
                  <w:noWrap w:val="0"/>
                  <w:vAlign w:val="center"/>
                </w:tcPr>
                <w:p w14:paraId="58EFC041">
                  <w:pPr>
                    <w:adjustRightIn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624" w:type="pct"/>
                  <w:shd w:val="clear" w:color="auto" w:fill="auto"/>
                  <w:noWrap w:val="0"/>
                  <w:vAlign w:val="center"/>
                </w:tcPr>
                <w:p w14:paraId="594143C8">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风机</w:t>
                  </w:r>
                </w:p>
              </w:tc>
              <w:tc>
                <w:tcPr>
                  <w:tcW w:w="301" w:type="pct"/>
                  <w:shd w:val="clear" w:color="auto" w:fill="auto"/>
                  <w:noWrap w:val="0"/>
                  <w:vAlign w:val="center"/>
                </w:tcPr>
                <w:p w14:paraId="177A388C">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c>
                <w:tcPr>
                  <w:tcW w:w="296" w:type="pct"/>
                  <w:shd w:val="clear" w:color="auto" w:fill="auto"/>
                  <w:noWrap w:val="0"/>
                  <w:vAlign w:val="center"/>
                </w:tcPr>
                <w:p w14:paraId="2100B039">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40</w:t>
                  </w:r>
                </w:p>
              </w:tc>
              <w:tc>
                <w:tcPr>
                  <w:tcW w:w="301" w:type="pct"/>
                  <w:shd w:val="clear" w:color="auto" w:fill="auto"/>
                  <w:noWrap w:val="0"/>
                  <w:vAlign w:val="center"/>
                </w:tcPr>
                <w:p w14:paraId="42D0BA9F">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c>
                <w:tcPr>
                  <w:tcW w:w="346" w:type="pct"/>
                  <w:shd w:val="clear" w:color="auto" w:fill="auto"/>
                  <w:noWrap w:val="0"/>
                  <w:vAlign w:val="center"/>
                </w:tcPr>
                <w:p w14:paraId="733E59EB">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15</w:t>
                  </w:r>
                </w:p>
              </w:tc>
              <w:tc>
                <w:tcPr>
                  <w:tcW w:w="746" w:type="pct"/>
                  <w:shd w:val="clear" w:color="auto" w:fill="auto"/>
                  <w:noWrap w:val="0"/>
                  <w:vAlign w:val="center"/>
                </w:tcPr>
                <w:p w14:paraId="6E9F49D9">
                  <w:pPr>
                    <w:adjustRightIn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90</w:t>
                  </w:r>
                </w:p>
              </w:tc>
              <w:tc>
                <w:tcPr>
                  <w:tcW w:w="727" w:type="pct"/>
                  <w:vMerge w:val="continue"/>
                  <w:noWrap w:val="0"/>
                  <w:vAlign w:val="center"/>
                </w:tcPr>
                <w:p w14:paraId="30D65B3B">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919" w:type="pct"/>
                  <w:vMerge w:val="continue"/>
                  <w:noWrap w:val="0"/>
                  <w:vAlign w:val="center"/>
                </w:tcPr>
                <w:p w14:paraId="6D6A6A39">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418" w:type="pct"/>
                  <w:noWrap w:val="0"/>
                  <w:vAlign w:val="center"/>
                </w:tcPr>
                <w:p w14:paraId="66B685C3">
                  <w:pPr>
                    <w:adjustRightIn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15</w:t>
                  </w:r>
                </w:p>
              </w:tc>
            </w:tr>
          </w:tbl>
          <w:p w14:paraId="7D2F10C7">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1"/>
                <w:szCs w:val="21"/>
                <w:highlight w:val="none"/>
                <w:lang w:eastAsia="zh-CN"/>
              </w:rPr>
              <w:t>注</w:t>
            </w:r>
            <w:r>
              <w:rPr>
                <w:rFonts w:hint="default" w:ascii="Times New Roman" w:hAnsi="Times New Roman" w:cs="Times New Roman"/>
                <w:color w:val="auto"/>
                <w:sz w:val="21"/>
                <w:szCs w:val="21"/>
                <w:highlight w:val="none"/>
                <w:lang w:val="en-US" w:eastAsia="zh-CN"/>
              </w:rPr>
              <w:t>:本次噪声评价厂界按整个厂界计算，坐标原点设在车间西墙与南墙的交点处，X轴正向为正东方向，Y轴正向为正北方向。</w:t>
            </w:r>
          </w:p>
          <w:p w14:paraId="4BCBBAAA">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2、厂界噪声预测</w:t>
            </w:r>
          </w:p>
          <w:p w14:paraId="2F3667E4">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根据《环境影响评价技术导则 声环境》（HJ2.4-2021）中的工业噪声预测模式对本项目噪声进行预测分析：</w:t>
            </w:r>
          </w:p>
          <w:p w14:paraId="450217B5">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①计算某个室内声源在靠近围护结构处的倍频带声压级</w:t>
            </w:r>
          </w:p>
          <w:p w14:paraId="43FAF543">
            <w:pPr>
              <w:adjustRightInd w:val="0"/>
              <w:snapToGrid w:val="0"/>
              <w:spacing w:line="360" w:lineRule="auto"/>
              <w:ind w:firstLine="480" w:firstLineChars="200"/>
              <w:jc w:val="center"/>
              <w:rPr>
                <w:rFonts w:hint="default" w:ascii="Times New Roman" w:hAnsi="Times New Roman" w:cs="Times New Roman"/>
                <w:bCs/>
                <w:color w:val="auto"/>
                <w:sz w:val="24"/>
              </w:rPr>
            </w:pPr>
            <w:r>
              <w:rPr>
                <w:rFonts w:hint="default" w:ascii="Times New Roman" w:hAnsi="Times New Roman" w:cs="Times New Roman"/>
                <w:bCs/>
                <w:color w:val="auto"/>
                <w:sz w:val="24"/>
              </w:rPr>
              <w:drawing>
                <wp:inline distT="0" distB="0" distL="114300" distR="114300">
                  <wp:extent cx="2372360" cy="429895"/>
                  <wp:effectExtent l="0" t="0" r="8890" b="8255"/>
                  <wp:docPr id="19" name="图片 8" descr="165701326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1657013269707"/>
                          <pic:cNvPicPr>
                            <a:picLocks noChangeAspect="1"/>
                          </pic:cNvPicPr>
                        </pic:nvPicPr>
                        <pic:blipFill>
                          <a:blip r:embed="rId31"/>
                          <a:stretch>
                            <a:fillRect/>
                          </a:stretch>
                        </pic:blipFill>
                        <pic:spPr>
                          <a:xfrm>
                            <a:off x="0" y="0"/>
                            <a:ext cx="2372360" cy="429895"/>
                          </a:xfrm>
                          <a:prstGeom prst="rect">
                            <a:avLst/>
                          </a:prstGeom>
                          <a:noFill/>
                          <a:ln>
                            <a:noFill/>
                          </a:ln>
                        </pic:spPr>
                      </pic:pic>
                    </a:graphicData>
                  </a:graphic>
                </wp:inline>
              </w:drawing>
            </w:r>
          </w:p>
          <w:p w14:paraId="02448534">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w:t>
            </w:r>
          </w:p>
          <w:p w14:paraId="158E1C62">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Lp1——靠近开口处（或窗户）室内某倍频带的声压级或A声级，dB；</w:t>
            </w:r>
          </w:p>
          <w:p w14:paraId="10D0BCE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Lw——点声源声功率级（A计权或倍频带），dB；</w:t>
            </w:r>
          </w:p>
          <w:p w14:paraId="3F6E50E8">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Q——指向性因数；</w:t>
            </w:r>
          </w:p>
          <w:p w14:paraId="17D01F3B">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R——房间常数；</w:t>
            </w:r>
          </w:p>
          <w:p w14:paraId="67B589E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r——声源到靠近围护结构某点处的距离，m。</w:t>
            </w:r>
          </w:p>
          <w:p w14:paraId="4CA69207">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②计算出所有室内声源在围护结构处产生的i倍频带叠加声压级</w:t>
            </w:r>
          </w:p>
          <w:p w14:paraId="4982D7D6">
            <w:pPr>
              <w:adjustRightInd w:val="0"/>
              <w:snapToGrid w:val="0"/>
              <w:spacing w:line="360" w:lineRule="auto"/>
              <w:ind w:firstLine="480" w:firstLineChars="200"/>
              <w:jc w:val="center"/>
              <w:rPr>
                <w:rFonts w:hint="default" w:ascii="Times New Roman" w:hAnsi="Times New Roman" w:cs="Times New Roman"/>
                <w:bCs/>
                <w:color w:val="auto"/>
                <w:sz w:val="24"/>
              </w:rPr>
            </w:pPr>
            <w:r>
              <w:rPr>
                <w:rFonts w:hint="default" w:ascii="Times New Roman" w:hAnsi="Times New Roman" w:cs="Times New Roman"/>
                <w:bCs/>
                <w:color w:val="auto"/>
                <w:sz w:val="24"/>
              </w:rPr>
              <w:drawing>
                <wp:inline distT="0" distB="0" distL="114300" distR="114300">
                  <wp:extent cx="2872740" cy="473075"/>
                  <wp:effectExtent l="0" t="0" r="3810" b="3175"/>
                  <wp:docPr id="18" name="图片 9" descr="1657067059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1657067059275(1)"/>
                          <pic:cNvPicPr>
                            <a:picLocks noChangeAspect="1"/>
                          </pic:cNvPicPr>
                        </pic:nvPicPr>
                        <pic:blipFill>
                          <a:blip r:embed="rId32"/>
                          <a:stretch>
                            <a:fillRect/>
                          </a:stretch>
                        </pic:blipFill>
                        <pic:spPr>
                          <a:xfrm>
                            <a:off x="0" y="0"/>
                            <a:ext cx="2872740" cy="473075"/>
                          </a:xfrm>
                          <a:prstGeom prst="rect">
                            <a:avLst/>
                          </a:prstGeom>
                          <a:noFill/>
                          <a:ln>
                            <a:noFill/>
                          </a:ln>
                        </pic:spPr>
                      </pic:pic>
                    </a:graphicData>
                  </a:graphic>
                </wp:inline>
              </w:drawing>
            </w:r>
          </w:p>
          <w:p w14:paraId="3F301DF2">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w:t>
            </w:r>
          </w:p>
          <w:p w14:paraId="61C58413">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Lpli（T）——靠近围护结构处室内N个声源i倍频带的叠加声压级，dB；</w:t>
            </w:r>
          </w:p>
          <w:p w14:paraId="3B82F563">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Lplij——室内j声源i倍频带的声压级，dB；</w:t>
            </w:r>
          </w:p>
          <w:p w14:paraId="7444B517">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N ——室内声源总数。</w:t>
            </w:r>
          </w:p>
          <w:p w14:paraId="231D273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③计算出靠近室外围护结构处的声压级</w:t>
            </w:r>
          </w:p>
          <w:p w14:paraId="254486B5">
            <w:pPr>
              <w:adjustRightInd w:val="0"/>
              <w:snapToGrid w:val="0"/>
              <w:spacing w:line="360" w:lineRule="auto"/>
              <w:ind w:firstLine="480" w:firstLineChars="200"/>
              <w:jc w:val="center"/>
              <w:rPr>
                <w:rFonts w:hint="default" w:ascii="Times New Roman" w:hAnsi="Times New Roman" w:cs="Times New Roman"/>
                <w:bCs/>
                <w:color w:val="auto"/>
                <w:sz w:val="24"/>
              </w:rPr>
            </w:pPr>
            <w:r>
              <w:rPr>
                <w:rFonts w:hint="default" w:ascii="Times New Roman" w:hAnsi="Times New Roman" w:cs="Times New Roman"/>
                <w:bCs/>
                <w:color w:val="auto"/>
                <w:sz w:val="24"/>
              </w:rPr>
              <w:t>Lp2i（T）=Lpli（T）-（TLi+6）</w:t>
            </w:r>
          </w:p>
          <w:p w14:paraId="1D319D40">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w:t>
            </w:r>
          </w:p>
          <w:p w14:paraId="529141FC">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Lp2i（T）——靠近围护结构处室外N个声源i倍频带的叠加声压级，dB；</w:t>
            </w:r>
          </w:p>
          <w:p w14:paraId="6A360F8A">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Lpli（T）——靠近围护结构处室内N个声源i倍频带的叠加声压级，dB；</w:t>
            </w:r>
          </w:p>
          <w:p w14:paraId="57FDFD57">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TLi——围护结构i倍频带的隔声量，dB，本次评价TL=20dB。</w:t>
            </w:r>
          </w:p>
          <w:p w14:paraId="6693F369">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④计算出中心位置位于透声面积（S）处的等效声源的倍频带声功率级</w:t>
            </w:r>
          </w:p>
          <w:p w14:paraId="6FE1BD23">
            <w:pPr>
              <w:spacing w:line="360" w:lineRule="auto"/>
              <w:ind w:firstLine="48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Lw=Lp2(T)+10lgS</w:t>
            </w:r>
          </w:p>
          <w:p w14:paraId="477EB67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Lw——中心位置位于透声面积（S）处的等效声源的倍频带声功率级，dB；</w:t>
            </w:r>
          </w:p>
          <w:p w14:paraId="1AF11034">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Lp2(T)——靠近围护结构处室外声源的声压级，dB；</w:t>
            </w:r>
          </w:p>
          <w:p w14:paraId="376CF761">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S——透声面积，m</w:t>
            </w:r>
            <w:r>
              <w:rPr>
                <w:rFonts w:hint="default" w:ascii="Times New Roman" w:hAnsi="Times New Roman" w:eastAsia="宋体" w:cs="Times New Roman"/>
                <w:color w:val="auto"/>
                <w:vertAlign w:val="superscript"/>
                <w:lang w:val="en-US" w:eastAsia="zh-CN"/>
              </w:rPr>
              <w:t>2</w:t>
            </w:r>
            <w:r>
              <w:rPr>
                <w:rFonts w:hint="default" w:ascii="Times New Roman" w:hAnsi="Times New Roman" w:eastAsia="宋体" w:cs="Times New Roman"/>
                <w:color w:val="auto"/>
                <w:lang w:val="en-US" w:eastAsia="zh-CN"/>
              </w:rPr>
              <w:t>。</w:t>
            </w:r>
          </w:p>
          <w:p w14:paraId="4584493D">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⑤按室外声源预测方法计算预测点处的A声级。室外声源处于半自由声场情况下，且声源可看作是位于地面上的，则：</w:t>
            </w:r>
          </w:p>
          <w:p w14:paraId="736C5EC2">
            <w:pPr>
              <w:spacing w:line="360" w:lineRule="auto"/>
              <w:ind w:firstLine="48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Lp(r)=Lw-20lg(r)-8</w:t>
            </w:r>
          </w:p>
          <w:p w14:paraId="669C590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式中：r——点声源到受声点的距离，m。</w:t>
            </w:r>
          </w:p>
          <w:p w14:paraId="4388CF1C">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⑥倍频带声压级和A声级转换</w:t>
            </w:r>
          </w:p>
          <w:p w14:paraId="704319F6">
            <w:pPr>
              <w:adjustRightInd w:val="0"/>
              <w:snapToGrid w:val="0"/>
              <w:spacing w:line="360" w:lineRule="auto"/>
              <w:ind w:firstLine="480" w:firstLineChars="200"/>
              <w:jc w:val="center"/>
              <w:rPr>
                <w:rFonts w:hint="default" w:ascii="Times New Roman" w:hAnsi="Times New Roman" w:cs="Times New Roman"/>
                <w:bCs/>
                <w:color w:val="auto"/>
                <w:sz w:val="24"/>
              </w:rPr>
            </w:pPr>
            <w:r>
              <w:rPr>
                <w:rFonts w:hint="default" w:ascii="Times New Roman" w:hAnsi="Times New Roman" w:cs="Times New Roman"/>
                <w:bCs/>
                <w:color w:val="auto"/>
                <w:sz w:val="24"/>
              </w:rPr>
              <w:drawing>
                <wp:inline distT="0" distB="0" distL="114300" distR="114300">
                  <wp:extent cx="2514600" cy="453390"/>
                  <wp:effectExtent l="0" t="0" r="0" b="3810"/>
                  <wp:docPr id="11" name="图片 10" descr="1657069740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1657069740680"/>
                          <pic:cNvPicPr>
                            <a:picLocks noChangeAspect="1"/>
                          </pic:cNvPicPr>
                        </pic:nvPicPr>
                        <pic:blipFill>
                          <a:blip r:embed="rId33"/>
                          <a:stretch>
                            <a:fillRect/>
                          </a:stretch>
                        </pic:blipFill>
                        <pic:spPr>
                          <a:xfrm>
                            <a:off x="0" y="0"/>
                            <a:ext cx="2514600" cy="453390"/>
                          </a:xfrm>
                          <a:prstGeom prst="rect">
                            <a:avLst/>
                          </a:prstGeom>
                          <a:noFill/>
                          <a:ln>
                            <a:noFill/>
                          </a:ln>
                        </pic:spPr>
                      </pic:pic>
                    </a:graphicData>
                  </a:graphic>
                </wp:inline>
              </w:drawing>
            </w:r>
          </w:p>
          <w:p w14:paraId="7F7615A0">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w:t>
            </w:r>
          </w:p>
          <w:p w14:paraId="18AAD918">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LA(r) ——距声源r处的A声级，dB(A)；</w:t>
            </w:r>
          </w:p>
          <w:p w14:paraId="0F14E1D6">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Lpi(r) ——预测点（r）处，第i倍频带声压级，dB；</w:t>
            </w:r>
          </w:p>
          <w:p w14:paraId="3D113385">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ΔLi ——第i倍频带的A计权网络修正值，dB。</w:t>
            </w:r>
          </w:p>
          <w:p w14:paraId="1EA9C587">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⑦拟建工程对预测点产生的贡献值按照下式计算：</w:t>
            </w:r>
          </w:p>
          <w:p w14:paraId="2562CDEE">
            <w:pPr>
              <w:adjustRightInd w:val="0"/>
              <w:snapToGrid w:val="0"/>
              <w:spacing w:line="360" w:lineRule="auto"/>
              <w:ind w:firstLine="480" w:firstLineChars="200"/>
              <w:jc w:val="center"/>
              <w:rPr>
                <w:rFonts w:hint="default" w:ascii="Times New Roman" w:hAnsi="Times New Roman" w:cs="Times New Roman"/>
                <w:bCs/>
                <w:color w:val="auto"/>
                <w:sz w:val="24"/>
              </w:rPr>
            </w:pPr>
            <w:r>
              <w:rPr>
                <w:rFonts w:hint="default" w:ascii="Times New Roman" w:hAnsi="Times New Roman" w:cs="Times New Roman"/>
                <w:bCs/>
                <w:color w:val="auto"/>
                <w:sz w:val="24"/>
              </w:rPr>
              <w:drawing>
                <wp:inline distT="0" distB="0" distL="114300" distR="114300">
                  <wp:extent cx="3505835" cy="494665"/>
                  <wp:effectExtent l="0" t="0" r="18415" b="635"/>
                  <wp:docPr id="17" name="图片 11" descr="165706999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descr="1657069996633"/>
                          <pic:cNvPicPr>
                            <a:picLocks noChangeAspect="1"/>
                          </pic:cNvPicPr>
                        </pic:nvPicPr>
                        <pic:blipFill>
                          <a:blip r:embed="rId34"/>
                          <a:stretch>
                            <a:fillRect/>
                          </a:stretch>
                        </pic:blipFill>
                        <pic:spPr>
                          <a:xfrm>
                            <a:off x="0" y="0"/>
                            <a:ext cx="3505835" cy="494665"/>
                          </a:xfrm>
                          <a:prstGeom prst="rect">
                            <a:avLst/>
                          </a:prstGeom>
                          <a:noFill/>
                          <a:ln>
                            <a:noFill/>
                          </a:ln>
                        </pic:spPr>
                      </pic:pic>
                    </a:graphicData>
                  </a:graphic>
                </wp:inline>
              </w:drawing>
            </w:r>
          </w:p>
          <w:p w14:paraId="0DDC115F">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式中：</w:t>
            </w:r>
          </w:p>
          <w:p w14:paraId="55F46425">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Leqg——建设项目声源在预测点的等效声级贡献值，dB(A)；</w:t>
            </w:r>
          </w:p>
          <w:p w14:paraId="0256B786">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LAi——室外i声源在预测点产生的A声级，dB(A)；</w:t>
            </w:r>
          </w:p>
          <w:p w14:paraId="0E47B8F1">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tj——等效室外声源在T时间内j声源工作时间，s；</w:t>
            </w:r>
          </w:p>
          <w:p w14:paraId="39302DBE">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ti——室外声源在T时间内i声源工作时间，s；</w:t>
            </w:r>
          </w:p>
          <w:p w14:paraId="1655D56E">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T——用于计算等效声级的时间，s。</w:t>
            </w:r>
          </w:p>
          <w:p w14:paraId="6D601229">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本次评价仅考虑距离衰减，项目噪声影响预测贡献值如下表：</w:t>
            </w:r>
          </w:p>
          <w:p w14:paraId="3C26ED05">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表4-1</w:t>
            </w:r>
            <w:r>
              <w:rPr>
                <w:rFonts w:hint="default" w:ascii="Times New Roman" w:hAnsi="Times New Roman" w:cs="Times New Roman"/>
                <w:b/>
                <w:bCs/>
                <w:color w:val="auto"/>
                <w:kern w:val="0"/>
                <w:sz w:val="21"/>
                <w:szCs w:val="21"/>
                <w:highlight w:val="none"/>
                <w:lang w:val="en-US" w:eastAsia="zh-CN" w:bidi="ar"/>
              </w:rPr>
              <w:t>3</w:t>
            </w:r>
            <w:r>
              <w:rPr>
                <w:rFonts w:hint="default" w:ascii="Times New Roman" w:hAnsi="Times New Roman" w:eastAsia="宋体" w:cs="Times New Roman"/>
                <w:b/>
                <w:bCs/>
                <w:color w:val="auto"/>
                <w:kern w:val="0"/>
                <w:sz w:val="21"/>
                <w:szCs w:val="21"/>
                <w:highlight w:val="none"/>
                <w:lang w:val="en-US" w:eastAsia="zh-CN" w:bidi="ar"/>
              </w:rPr>
              <w:t xml:space="preserve">  厂界噪声预测结果  （单位：dB(A)）</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1770"/>
              <w:gridCol w:w="945"/>
              <w:gridCol w:w="945"/>
              <w:gridCol w:w="1770"/>
              <w:gridCol w:w="1191"/>
            </w:tblGrid>
            <w:tr w14:paraId="32EE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54" w:type="pct"/>
                  <w:noWrap w:val="0"/>
                  <w:vAlign w:val="center"/>
                </w:tcPr>
                <w:p w14:paraId="767DD0DA">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预测点位</w:t>
                  </w:r>
                </w:p>
              </w:tc>
              <w:tc>
                <w:tcPr>
                  <w:tcW w:w="1134" w:type="pct"/>
                  <w:noWrap w:val="0"/>
                  <w:vAlign w:val="center"/>
                </w:tcPr>
                <w:p w14:paraId="16D255B7">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背景值（昼间）</w:t>
                  </w:r>
                </w:p>
              </w:tc>
              <w:tc>
                <w:tcPr>
                  <w:tcW w:w="605" w:type="pct"/>
                  <w:noWrap w:val="0"/>
                  <w:vAlign w:val="center"/>
                </w:tcPr>
                <w:p w14:paraId="0B2E290F">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贡献值</w:t>
                  </w:r>
                </w:p>
              </w:tc>
              <w:tc>
                <w:tcPr>
                  <w:tcW w:w="605" w:type="pct"/>
                  <w:noWrap w:val="0"/>
                  <w:vAlign w:val="center"/>
                </w:tcPr>
                <w:p w14:paraId="218BD83A">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叠加值</w:t>
                  </w:r>
                </w:p>
              </w:tc>
              <w:tc>
                <w:tcPr>
                  <w:tcW w:w="1134" w:type="pct"/>
                  <w:noWrap w:val="0"/>
                  <w:vAlign w:val="center"/>
                </w:tcPr>
                <w:p w14:paraId="28D20E5F">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标准值（昼间）</w:t>
                  </w:r>
                </w:p>
              </w:tc>
              <w:tc>
                <w:tcPr>
                  <w:tcW w:w="763" w:type="pct"/>
                  <w:noWrap w:val="0"/>
                  <w:vAlign w:val="center"/>
                </w:tcPr>
                <w:p w14:paraId="505C6CB8">
                  <w:pPr>
                    <w:adjustRightInd w:val="0"/>
                    <w:spacing w:line="240" w:lineRule="auto"/>
                    <w:ind w:firstLine="0" w:firstLineChars="0"/>
                    <w:jc w:val="center"/>
                    <w:rPr>
                      <w:rFonts w:hint="eastAsia" w:cs="Times New Roman"/>
                      <w:b/>
                      <w:bCs/>
                      <w:color w:val="auto"/>
                      <w:sz w:val="21"/>
                      <w:szCs w:val="21"/>
                      <w:lang w:val="en-US" w:eastAsia="zh-CN"/>
                    </w:rPr>
                  </w:pPr>
                  <w:r>
                    <w:rPr>
                      <w:rFonts w:hint="eastAsia" w:cs="Times New Roman"/>
                      <w:b/>
                      <w:bCs/>
                      <w:color w:val="auto"/>
                      <w:sz w:val="21"/>
                      <w:szCs w:val="21"/>
                      <w:lang w:val="en-US" w:eastAsia="zh-CN"/>
                    </w:rPr>
                    <w:t>达标情况</w:t>
                  </w:r>
                </w:p>
              </w:tc>
            </w:tr>
            <w:tr w14:paraId="75B1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shd w:val="clear" w:color="auto" w:fill="auto"/>
                  <w:noWrap w:val="0"/>
                  <w:vAlign w:val="center"/>
                </w:tcPr>
                <w:p w14:paraId="24B6A01B">
                  <w:pPr>
                    <w:adjustRightInd w:val="0"/>
                    <w:spacing w:line="240" w:lineRule="auto"/>
                    <w:ind w:firstLine="0" w:firstLineChars="0"/>
                    <w:jc w:val="center"/>
                    <w:rPr>
                      <w:rFonts w:hint="eastAsia" w:cs="Times New Roman"/>
                      <w:color w:val="auto"/>
                      <w:sz w:val="21"/>
                      <w:szCs w:val="21"/>
                      <w:lang w:val="en-US" w:eastAsia="zh-CN"/>
                    </w:rPr>
                  </w:pPr>
                  <w:r>
                    <w:rPr>
                      <w:rFonts w:hint="default" w:cs="Times New Roman"/>
                      <w:color w:val="auto"/>
                      <w:sz w:val="21"/>
                      <w:szCs w:val="21"/>
                      <w:lang w:val="en-US" w:eastAsia="zh-CN"/>
                    </w:rPr>
                    <w:t>东厂界</w:t>
                  </w:r>
                </w:p>
              </w:tc>
              <w:tc>
                <w:tcPr>
                  <w:tcW w:w="1134" w:type="pct"/>
                  <w:noWrap w:val="0"/>
                  <w:vAlign w:val="center"/>
                </w:tcPr>
                <w:p w14:paraId="479EB4B7">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605" w:type="pct"/>
                  <w:shd w:val="clear" w:color="auto" w:fill="auto"/>
                  <w:noWrap w:val="0"/>
                  <w:vAlign w:val="center"/>
                </w:tcPr>
                <w:p w14:paraId="2C656C04">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52.8</w:t>
                  </w:r>
                </w:p>
              </w:tc>
              <w:tc>
                <w:tcPr>
                  <w:tcW w:w="605" w:type="pct"/>
                  <w:noWrap w:val="0"/>
                  <w:vAlign w:val="center"/>
                </w:tcPr>
                <w:p w14:paraId="0DF5D5E9">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1134" w:type="pct"/>
                  <w:vMerge w:val="restart"/>
                  <w:noWrap w:val="0"/>
                  <w:vAlign w:val="center"/>
                </w:tcPr>
                <w:p w14:paraId="47F7484B">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65</w:t>
                  </w:r>
                </w:p>
              </w:tc>
              <w:tc>
                <w:tcPr>
                  <w:tcW w:w="763" w:type="pct"/>
                  <w:noWrap w:val="0"/>
                  <w:vAlign w:val="center"/>
                </w:tcPr>
                <w:p w14:paraId="1181D1C9">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达标</w:t>
                  </w:r>
                </w:p>
              </w:tc>
            </w:tr>
            <w:tr w14:paraId="1A25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4" w:type="pct"/>
                  <w:shd w:val="clear" w:color="auto" w:fill="auto"/>
                  <w:noWrap w:val="0"/>
                  <w:vAlign w:val="center"/>
                </w:tcPr>
                <w:p w14:paraId="4ADE3C95">
                  <w:pPr>
                    <w:adjustRightInd w:val="0"/>
                    <w:spacing w:line="240" w:lineRule="auto"/>
                    <w:ind w:firstLine="0" w:firstLineChars="0"/>
                    <w:jc w:val="center"/>
                    <w:rPr>
                      <w:rFonts w:hint="eastAsia" w:cs="Times New Roman"/>
                      <w:color w:val="auto"/>
                      <w:sz w:val="21"/>
                      <w:szCs w:val="21"/>
                      <w:lang w:val="en-US" w:eastAsia="zh-CN"/>
                    </w:rPr>
                  </w:pPr>
                  <w:r>
                    <w:rPr>
                      <w:rFonts w:hint="default" w:cs="Times New Roman"/>
                      <w:color w:val="auto"/>
                      <w:sz w:val="21"/>
                      <w:szCs w:val="21"/>
                      <w:lang w:val="en-US" w:eastAsia="zh-CN"/>
                    </w:rPr>
                    <w:t>南厂界</w:t>
                  </w:r>
                </w:p>
              </w:tc>
              <w:tc>
                <w:tcPr>
                  <w:tcW w:w="1134" w:type="pct"/>
                  <w:noWrap w:val="0"/>
                  <w:vAlign w:val="center"/>
                </w:tcPr>
                <w:p w14:paraId="2EA8A517">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605" w:type="pct"/>
                  <w:shd w:val="clear" w:color="auto" w:fill="auto"/>
                  <w:noWrap w:val="0"/>
                  <w:vAlign w:val="center"/>
                </w:tcPr>
                <w:p w14:paraId="346E95C1">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54.5</w:t>
                  </w:r>
                </w:p>
              </w:tc>
              <w:tc>
                <w:tcPr>
                  <w:tcW w:w="605" w:type="pct"/>
                  <w:noWrap w:val="0"/>
                  <w:vAlign w:val="center"/>
                </w:tcPr>
                <w:p w14:paraId="71E1DB61">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1134" w:type="pct"/>
                  <w:vMerge w:val="continue"/>
                  <w:noWrap w:val="0"/>
                  <w:vAlign w:val="center"/>
                </w:tcPr>
                <w:p w14:paraId="23350E99">
                  <w:pPr>
                    <w:adjustRightInd w:val="0"/>
                    <w:spacing w:line="240" w:lineRule="auto"/>
                    <w:ind w:firstLine="0" w:firstLineChars="0"/>
                    <w:jc w:val="center"/>
                    <w:rPr>
                      <w:rFonts w:hint="eastAsia" w:cs="Times New Roman"/>
                      <w:color w:val="auto"/>
                      <w:sz w:val="21"/>
                      <w:szCs w:val="21"/>
                      <w:lang w:val="en-US" w:eastAsia="zh-CN"/>
                    </w:rPr>
                  </w:pPr>
                </w:p>
              </w:tc>
              <w:tc>
                <w:tcPr>
                  <w:tcW w:w="763" w:type="pct"/>
                  <w:noWrap w:val="0"/>
                  <w:vAlign w:val="center"/>
                </w:tcPr>
                <w:p w14:paraId="3B5F0735">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达标</w:t>
                  </w:r>
                </w:p>
              </w:tc>
            </w:tr>
            <w:tr w14:paraId="6B9D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4" w:type="pct"/>
                  <w:shd w:val="clear" w:color="auto" w:fill="auto"/>
                  <w:noWrap w:val="0"/>
                  <w:vAlign w:val="center"/>
                </w:tcPr>
                <w:p w14:paraId="5CCCFFC6">
                  <w:pPr>
                    <w:adjustRightInd w:val="0"/>
                    <w:spacing w:line="240" w:lineRule="auto"/>
                    <w:ind w:firstLine="0" w:firstLineChars="0"/>
                    <w:jc w:val="center"/>
                    <w:rPr>
                      <w:rFonts w:hint="eastAsia" w:cs="Times New Roman"/>
                      <w:color w:val="auto"/>
                      <w:sz w:val="21"/>
                      <w:szCs w:val="21"/>
                      <w:lang w:val="en-US" w:eastAsia="zh-CN"/>
                    </w:rPr>
                  </w:pPr>
                  <w:r>
                    <w:rPr>
                      <w:rFonts w:hint="default" w:cs="Times New Roman"/>
                      <w:color w:val="auto"/>
                      <w:sz w:val="21"/>
                      <w:szCs w:val="21"/>
                      <w:lang w:val="en-US" w:eastAsia="zh-CN"/>
                    </w:rPr>
                    <w:t>北厂界</w:t>
                  </w:r>
                </w:p>
              </w:tc>
              <w:tc>
                <w:tcPr>
                  <w:tcW w:w="1134" w:type="pct"/>
                  <w:noWrap w:val="0"/>
                  <w:vAlign w:val="center"/>
                </w:tcPr>
                <w:p w14:paraId="7EC355F4">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605" w:type="pct"/>
                  <w:shd w:val="clear" w:color="auto" w:fill="auto"/>
                  <w:noWrap w:val="0"/>
                  <w:vAlign w:val="center"/>
                </w:tcPr>
                <w:p w14:paraId="1FE8ABFE">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57.1</w:t>
                  </w:r>
                </w:p>
              </w:tc>
              <w:tc>
                <w:tcPr>
                  <w:tcW w:w="605" w:type="pct"/>
                  <w:noWrap w:val="0"/>
                  <w:vAlign w:val="center"/>
                </w:tcPr>
                <w:p w14:paraId="0C7A663B">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1134" w:type="pct"/>
                  <w:vMerge w:val="continue"/>
                  <w:noWrap w:val="0"/>
                  <w:vAlign w:val="center"/>
                </w:tcPr>
                <w:p w14:paraId="2ECBC636">
                  <w:pPr>
                    <w:adjustRightInd w:val="0"/>
                    <w:spacing w:line="240" w:lineRule="auto"/>
                    <w:ind w:firstLine="0" w:firstLineChars="0"/>
                    <w:jc w:val="center"/>
                    <w:rPr>
                      <w:rFonts w:hint="eastAsia" w:cs="Times New Roman"/>
                      <w:color w:val="auto"/>
                      <w:sz w:val="21"/>
                      <w:szCs w:val="21"/>
                      <w:lang w:val="en-US" w:eastAsia="zh-CN"/>
                    </w:rPr>
                  </w:pPr>
                </w:p>
              </w:tc>
              <w:tc>
                <w:tcPr>
                  <w:tcW w:w="763" w:type="pct"/>
                  <w:noWrap w:val="0"/>
                  <w:vAlign w:val="center"/>
                </w:tcPr>
                <w:p w14:paraId="788390D7">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达标</w:t>
                  </w:r>
                </w:p>
              </w:tc>
            </w:tr>
            <w:tr w14:paraId="7934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4" w:type="pct"/>
                  <w:shd w:val="clear" w:color="auto" w:fill="auto"/>
                  <w:noWrap w:val="0"/>
                  <w:vAlign w:val="center"/>
                </w:tcPr>
                <w:p w14:paraId="2A12E95B">
                  <w:pPr>
                    <w:adjustRightInd w:val="0"/>
                    <w:spacing w:line="240" w:lineRule="auto"/>
                    <w:ind w:firstLine="0" w:firstLineChars="0"/>
                    <w:jc w:val="center"/>
                    <w:rPr>
                      <w:rFonts w:hint="eastAsia" w:cs="Times New Roman"/>
                      <w:color w:val="auto"/>
                      <w:sz w:val="21"/>
                      <w:szCs w:val="21"/>
                      <w:lang w:val="en-US" w:eastAsia="zh-CN"/>
                    </w:rPr>
                  </w:pPr>
                  <w:r>
                    <w:rPr>
                      <w:rFonts w:hint="default" w:cs="Times New Roman"/>
                      <w:color w:val="auto"/>
                      <w:sz w:val="21"/>
                      <w:szCs w:val="21"/>
                      <w:lang w:val="en-US" w:eastAsia="zh-CN"/>
                    </w:rPr>
                    <w:t>西厂界</w:t>
                  </w:r>
                </w:p>
              </w:tc>
              <w:tc>
                <w:tcPr>
                  <w:tcW w:w="1134" w:type="pct"/>
                  <w:noWrap w:val="0"/>
                  <w:vAlign w:val="center"/>
                </w:tcPr>
                <w:p w14:paraId="7273E309">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605" w:type="pct"/>
                  <w:shd w:val="clear" w:color="auto" w:fill="auto"/>
                  <w:noWrap w:val="0"/>
                  <w:vAlign w:val="center"/>
                </w:tcPr>
                <w:p w14:paraId="4DBE0F65">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59.2</w:t>
                  </w:r>
                </w:p>
              </w:tc>
              <w:tc>
                <w:tcPr>
                  <w:tcW w:w="605" w:type="pct"/>
                  <w:noWrap w:val="0"/>
                  <w:vAlign w:val="center"/>
                </w:tcPr>
                <w:p w14:paraId="5ED82DD1">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1134" w:type="pct"/>
                  <w:vMerge w:val="continue"/>
                  <w:noWrap w:val="0"/>
                  <w:vAlign w:val="center"/>
                </w:tcPr>
                <w:p w14:paraId="3B02DC5A">
                  <w:pPr>
                    <w:adjustRightInd w:val="0"/>
                    <w:spacing w:line="240" w:lineRule="auto"/>
                    <w:ind w:firstLine="0" w:firstLineChars="0"/>
                    <w:jc w:val="center"/>
                    <w:rPr>
                      <w:rFonts w:hint="eastAsia" w:cs="Times New Roman"/>
                      <w:color w:val="auto"/>
                      <w:sz w:val="21"/>
                      <w:szCs w:val="21"/>
                      <w:lang w:val="en-US" w:eastAsia="zh-CN"/>
                    </w:rPr>
                  </w:pPr>
                </w:p>
              </w:tc>
              <w:tc>
                <w:tcPr>
                  <w:tcW w:w="763" w:type="pct"/>
                  <w:noWrap w:val="0"/>
                  <w:vAlign w:val="center"/>
                </w:tcPr>
                <w:p w14:paraId="0BFB847B">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达标</w:t>
                  </w:r>
                </w:p>
              </w:tc>
            </w:tr>
            <w:tr w14:paraId="284F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4" w:type="pct"/>
                  <w:shd w:val="clear" w:color="auto" w:fill="auto"/>
                  <w:noWrap w:val="0"/>
                  <w:vAlign w:val="center"/>
                </w:tcPr>
                <w:p w14:paraId="4BAB415E">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龙湖雅苑</w:t>
                  </w:r>
                </w:p>
              </w:tc>
              <w:tc>
                <w:tcPr>
                  <w:tcW w:w="1134" w:type="pct"/>
                  <w:noWrap w:val="0"/>
                  <w:vAlign w:val="center"/>
                </w:tcPr>
                <w:p w14:paraId="1AB558C5">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46</w:t>
                  </w:r>
                </w:p>
              </w:tc>
              <w:tc>
                <w:tcPr>
                  <w:tcW w:w="605" w:type="pct"/>
                  <w:shd w:val="clear" w:color="auto" w:fill="auto"/>
                  <w:noWrap w:val="0"/>
                  <w:vAlign w:val="center"/>
                </w:tcPr>
                <w:p w14:paraId="56B0A8D6">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48.3</w:t>
                  </w:r>
                </w:p>
              </w:tc>
              <w:tc>
                <w:tcPr>
                  <w:tcW w:w="605" w:type="pct"/>
                  <w:noWrap w:val="0"/>
                  <w:vAlign w:val="center"/>
                </w:tcPr>
                <w:p w14:paraId="493B640C">
                  <w:pPr>
                    <w:adjustRightInd w:val="0"/>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50.3</w:t>
                  </w:r>
                </w:p>
              </w:tc>
              <w:tc>
                <w:tcPr>
                  <w:tcW w:w="1134" w:type="pct"/>
                  <w:noWrap w:val="0"/>
                  <w:vAlign w:val="center"/>
                </w:tcPr>
                <w:p w14:paraId="458077A6">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60</w:t>
                  </w:r>
                </w:p>
              </w:tc>
              <w:tc>
                <w:tcPr>
                  <w:tcW w:w="763" w:type="pct"/>
                  <w:noWrap w:val="0"/>
                  <w:vAlign w:val="center"/>
                </w:tcPr>
                <w:p w14:paraId="7E347867">
                  <w:pPr>
                    <w:adjustRightInd w:val="0"/>
                    <w:spacing w:line="240" w:lineRule="auto"/>
                    <w:ind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达标</w:t>
                  </w:r>
                </w:p>
              </w:tc>
            </w:tr>
          </w:tbl>
          <w:p w14:paraId="47E4A638">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由以上预测结果可知，本项目对厂界贡献值较小，能够满足《声环境质量标准》（GB3096-2008）中3类标准要求</w:t>
            </w:r>
            <w:r>
              <w:rPr>
                <w:rFonts w:hint="eastAsia" w:cs="Times New Roman"/>
                <w:bCs/>
                <w:color w:val="auto"/>
                <w:sz w:val="24"/>
                <w:highlight w:val="none"/>
                <w:lang w:eastAsia="zh-CN"/>
              </w:rPr>
              <w:t>，敏感点能满足</w:t>
            </w:r>
            <w:r>
              <w:rPr>
                <w:rFonts w:hint="eastAsia" w:cs="Times New Roman"/>
                <w:bCs/>
                <w:color w:val="auto"/>
                <w:sz w:val="24"/>
                <w:highlight w:val="none"/>
                <w:lang w:val="en-US" w:eastAsia="zh-CN"/>
              </w:rPr>
              <w:t>2类标准要求</w:t>
            </w:r>
            <w:r>
              <w:rPr>
                <w:rFonts w:hint="default" w:ascii="Times New Roman" w:hAnsi="Times New Roman" w:cs="Times New Roman"/>
                <w:bCs/>
                <w:color w:val="auto"/>
                <w:sz w:val="24"/>
                <w:highlight w:val="none"/>
              </w:rPr>
              <w:t>。</w:t>
            </w:r>
          </w:p>
          <w:p w14:paraId="4973234D">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为进一步降低项目噪声对周边声环境影响，本项目采取以下降噪措施：</w:t>
            </w:r>
          </w:p>
          <w:p w14:paraId="79692F36">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①选用低噪声设备，并合理布局，高噪声设备尽量远离生产区；</w:t>
            </w:r>
          </w:p>
          <w:p w14:paraId="2683A410">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②加强设备的维护，确保设备处于良好的运转状态，杜绝因设备不正常运转时产生的高噪声现象；</w:t>
            </w:r>
          </w:p>
          <w:p w14:paraId="2D6548C6">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③对噪声相对较大的设备，应加强减震降噪措施，如加装隔振垫、减震器、消声器等。</w:t>
            </w:r>
          </w:p>
          <w:p w14:paraId="7D112A0E">
            <w:pPr>
              <w:keepNext w:val="0"/>
              <w:keepLines w:val="0"/>
              <w:pageBreakBefore w:val="0"/>
              <w:tabs>
                <w:tab w:val="left" w:pos="1215"/>
              </w:tabs>
              <w:kinsoku/>
              <w:wordWrap/>
              <w:overflowPunct/>
              <w:topLinePunct w:val="0"/>
              <w:bidi w:val="0"/>
              <w:adjustRightInd/>
              <w:snapToGrid/>
              <w:spacing w:line="360" w:lineRule="auto"/>
              <w:ind w:firstLine="480" w:firstLineChars="200"/>
              <w:jc w:val="left"/>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④加强建设项目区域内的绿化，为了提高绿化消减噪声的效果，应尽量选用四季常绿树种，以乔木为主，灌木、花草相结合，构成多层次的消声带。</w:t>
            </w:r>
          </w:p>
          <w:p w14:paraId="75A26420">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3、噪声监测计划</w:t>
            </w:r>
          </w:p>
          <w:p w14:paraId="53AADE0D">
            <w:pPr>
              <w:pStyle w:val="67"/>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szCs w:val="24"/>
                <w:highlight w:val="none"/>
              </w:rPr>
              <w:t>参照</w:t>
            </w:r>
            <w:r>
              <w:rPr>
                <w:rFonts w:hint="default" w:ascii="Times New Roman" w:hAnsi="Times New Roman" w:cs="Times New Roman"/>
                <w:color w:val="auto"/>
                <w:szCs w:val="22"/>
                <w:highlight w:val="none"/>
              </w:rPr>
              <w:t>《排污许可证申请与核发技术规范 工业噪声》（HJ 1301—2023）、《</w:t>
            </w:r>
            <w:r>
              <w:rPr>
                <w:rFonts w:hint="default" w:ascii="Times New Roman" w:hAnsi="Times New Roman" w:cs="Times New Roman"/>
                <w:color w:val="auto"/>
                <w:szCs w:val="24"/>
                <w:highlight w:val="none"/>
              </w:rPr>
              <w:t>排污单位自行监测技术指南 总则</w:t>
            </w:r>
            <w:r>
              <w:rPr>
                <w:rFonts w:hint="default" w:ascii="Times New Roman" w:hAnsi="Times New Roman" w:cs="Times New Roman"/>
                <w:color w:val="auto"/>
                <w:szCs w:val="22"/>
                <w:highlight w:val="none"/>
              </w:rPr>
              <w:t>》（HJ819-2017）</w:t>
            </w:r>
            <w:r>
              <w:rPr>
                <w:rFonts w:hint="default" w:ascii="Times New Roman" w:hAnsi="Times New Roman" w:cs="Times New Roman"/>
                <w:color w:val="auto"/>
                <w:szCs w:val="24"/>
                <w:highlight w:val="none"/>
              </w:rPr>
              <w:t>中规定，</w:t>
            </w:r>
            <w:r>
              <w:rPr>
                <w:rFonts w:hint="default" w:ascii="Times New Roman" w:hAnsi="Times New Roman" w:cs="Times New Roman"/>
                <w:color w:val="auto"/>
                <w:szCs w:val="24"/>
                <w:highlight w:val="none"/>
                <w:lang w:eastAsia="zh-CN"/>
              </w:rPr>
              <w:t>监测计划具体</w:t>
            </w:r>
            <w:r>
              <w:rPr>
                <w:rFonts w:hint="default" w:ascii="Times New Roman" w:hAnsi="Times New Roman" w:cs="Times New Roman"/>
                <w:color w:val="auto"/>
                <w:szCs w:val="24"/>
                <w:highlight w:val="none"/>
              </w:rPr>
              <w:t>如下。</w:t>
            </w:r>
          </w:p>
          <w:p w14:paraId="6F840704">
            <w:pPr>
              <w:pStyle w:val="76"/>
              <w:keepNext w:val="0"/>
              <w:keepLines w:val="0"/>
              <w:pageBreakBefore w:val="0"/>
              <w:kinsoku/>
              <w:wordWrap/>
              <w:overflowPunct/>
              <w:topLinePunct w:val="0"/>
              <w:bidi w:val="0"/>
              <w:adjustRightInd/>
              <w:snapToGrid/>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表4-1</w:t>
            </w: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 xml:space="preserve">  本项目运营期噪声监测计划一览表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564"/>
              <w:gridCol w:w="1744"/>
              <w:gridCol w:w="1880"/>
              <w:gridCol w:w="2490"/>
              <w:gridCol w:w="1122"/>
            </w:tblGrid>
            <w:tr w14:paraId="51D0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82" w:hRule="atLeast"/>
                <w:jc w:val="center"/>
              </w:trPr>
              <w:tc>
                <w:tcPr>
                  <w:tcW w:w="361" w:type="pct"/>
                  <w:noWrap w:val="0"/>
                  <w:vAlign w:val="center"/>
                </w:tcPr>
                <w:p w14:paraId="4A673E15">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类别</w:t>
                  </w:r>
                </w:p>
              </w:tc>
              <w:tc>
                <w:tcPr>
                  <w:tcW w:w="1118" w:type="pct"/>
                  <w:noWrap w:val="0"/>
                  <w:vAlign w:val="center"/>
                </w:tcPr>
                <w:p w14:paraId="413B7AF8">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监测点位</w:t>
                  </w:r>
                </w:p>
              </w:tc>
              <w:tc>
                <w:tcPr>
                  <w:tcW w:w="1205" w:type="pct"/>
                  <w:noWrap w:val="0"/>
                  <w:vAlign w:val="center"/>
                </w:tcPr>
                <w:p w14:paraId="0ED3D6CE">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监测项目</w:t>
                  </w:r>
                </w:p>
              </w:tc>
              <w:tc>
                <w:tcPr>
                  <w:tcW w:w="1595" w:type="pct"/>
                  <w:noWrap w:val="0"/>
                  <w:vAlign w:val="center"/>
                </w:tcPr>
                <w:p w14:paraId="63A91D20">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监测频率</w:t>
                  </w:r>
                </w:p>
              </w:tc>
              <w:tc>
                <w:tcPr>
                  <w:tcW w:w="719" w:type="pct"/>
                  <w:noWrap w:val="0"/>
                  <w:vAlign w:val="center"/>
                </w:tcPr>
                <w:p w14:paraId="025CCC22">
                  <w:pPr>
                    <w:adjustRightIn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监测方式</w:t>
                  </w:r>
                </w:p>
              </w:tc>
            </w:tr>
            <w:tr w14:paraId="031C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2" w:hRule="atLeast"/>
                <w:jc w:val="center"/>
              </w:trPr>
              <w:tc>
                <w:tcPr>
                  <w:tcW w:w="361" w:type="pct"/>
                  <w:noWrap w:val="0"/>
                  <w:vAlign w:val="center"/>
                </w:tcPr>
                <w:p w14:paraId="02070584">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118" w:type="pct"/>
                  <w:noWrap w:val="0"/>
                  <w:vAlign w:val="center"/>
                </w:tcPr>
                <w:p w14:paraId="17187C21">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w:t>
                  </w:r>
                </w:p>
              </w:tc>
              <w:tc>
                <w:tcPr>
                  <w:tcW w:w="1205" w:type="pct"/>
                  <w:noWrap w:val="0"/>
                  <w:vAlign w:val="center"/>
                </w:tcPr>
                <w:p w14:paraId="7A134F8A">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LeqdB（A）</w:t>
                  </w:r>
                </w:p>
              </w:tc>
              <w:tc>
                <w:tcPr>
                  <w:tcW w:w="1595" w:type="pct"/>
                  <w:noWrap w:val="0"/>
                  <w:vAlign w:val="center"/>
                </w:tcPr>
                <w:p w14:paraId="42080293">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1次/季度，每次</w:t>
                  </w:r>
                  <w:r>
                    <w:rPr>
                      <w:rFonts w:hint="default" w:ascii="Times New Roman" w:hAnsi="Times New Roman" w:eastAsia="宋体" w:cs="Times New Roman"/>
                      <w:color w:val="auto"/>
                      <w:sz w:val="21"/>
                      <w:szCs w:val="21"/>
                      <w:lang w:eastAsia="zh-CN"/>
                    </w:rPr>
                    <w:t>昼间</w:t>
                  </w:r>
                  <w:r>
                    <w:rPr>
                      <w:rFonts w:hint="default" w:ascii="Times New Roman" w:hAnsi="Times New Roman" w:eastAsia="宋体" w:cs="Times New Roman"/>
                      <w:color w:val="auto"/>
                      <w:sz w:val="21"/>
                      <w:szCs w:val="21"/>
                    </w:rPr>
                    <w:t>一次</w:t>
                  </w:r>
                </w:p>
              </w:tc>
              <w:tc>
                <w:tcPr>
                  <w:tcW w:w="719" w:type="pct"/>
                  <w:noWrap w:val="0"/>
                  <w:vAlign w:val="center"/>
                </w:tcPr>
                <w:p w14:paraId="1C7F2D24">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委托监测</w:t>
                  </w:r>
                </w:p>
              </w:tc>
            </w:tr>
          </w:tbl>
          <w:p w14:paraId="3C032C51">
            <w:pPr>
              <w:pStyle w:val="6"/>
              <w:pageBreakBefore w:val="0"/>
              <w:widowControl w:val="0"/>
              <w:kinsoku/>
              <w:wordWrap/>
              <w:overflowPunct/>
              <w:topLinePunct w:val="0"/>
              <w:autoSpaceDE/>
              <w:autoSpaceDN/>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四、</w:t>
            </w:r>
            <w:r>
              <w:rPr>
                <w:rFonts w:hint="default" w:ascii="Times New Roman" w:hAnsi="Times New Roman" w:cs="Times New Roman"/>
                <w:b/>
                <w:bCs/>
                <w:color w:val="auto"/>
                <w:sz w:val="24"/>
                <w:highlight w:val="none"/>
              </w:rPr>
              <w:t>固体废物环境影响分析</w:t>
            </w:r>
          </w:p>
          <w:p w14:paraId="0B02DBD7">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1、固体废物产生情况</w:t>
            </w:r>
          </w:p>
          <w:p w14:paraId="65BECC3D">
            <w:pPr>
              <w:pageBreakBefore w:val="0"/>
              <w:widowControl w:val="0"/>
              <w:numPr>
                <w:ilvl w:val="0"/>
                <w:numId w:val="0"/>
              </w:numPr>
              <w:kinsoku/>
              <w:wordWrap/>
              <w:overflowPunct/>
              <w:topLinePunct w:val="0"/>
              <w:autoSpaceDE/>
              <w:autoSpaceDN/>
              <w:bidi w:val="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本项目运营期产生的固体废物包括：生活垃圾、一般工业固废</w:t>
            </w:r>
            <w:r>
              <w:rPr>
                <w:rFonts w:hint="default" w:ascii="Times New Roman" w:hAnsi="Times New Roman" w:eastAsia="宋体" w:cs="Times New Roman"/>
                <w:color w:val="auto"/>
                <w:highlight w:val="none"/>
                <w:lang w:eastAsia="zh-CN"/>
              </w:rPr>
              <w:t>包括废</w:t>
            </w:r>
            <w:r>
              <w:rPr>
                <w:rFonts w:hint="default" w:ascii="Times New Roman" w:hAnsi="Times New Roman" w:eastAsia="宋体" w:cs="Times New Roman"/>
                <w:color w:val="auto"/>
                <w:highlight w:val="none"/>
              </w:rPr>
              <w:t>包装物</w:t>
            </w:r>
            <w:r>
              <w:rPr>
                <w:rFonts w:hint="default" w:ascii="Times New Roman" w:hAnsi="Times New Roman" w:eastAsia="宋体" w:cs="Times New Roman"/>
                <w:color w:val="auto"/>
                <w:highlight w:val="none"/>
                <w:lang w:eastAsia="zh-CN"/>
              </w:rPr>
              <w:t>、</w:t>
            </w:r>
            <w:r>
              <w:rPr>
                <w:rFonts w:hint="eastAsia" w:cs="Times New Roman"/>
                <w:color w:val="auto"/>
                <w:highlight w:val="none"/>
                <w:lang w:eastAsia="zh-CN"/>
              </w:rPr>
              <w:t>废水性漆桶和废水性漆渣</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w:t>
            </w:r>
            <w:r>
              <w:rPr>
                <w:rFonts w:hint="default" w:ascii="Times New Roman" w:hAnsi="Times New Roman" w:eastAsia="宋体" w:cs="Times New Roman"/>
                <w:color w:val="auto"/>
                <w:highlight w:val="none"/>
                <w:lang w:eastAsia="zh-CN"/>
              </w:rPr>
              <w:t>包括废润滑油、废油桶、</w:t>
            </w:r>
            <w:r>
              <w:rPr>
                <w:rFonts w:hint="eastAsia" w:cs="Times New Roman"/>
                <w:color w:val="auto"/>
                <w:highlight w:val="none"/>
                <w:lang w:eastAsia="zh-CN"/>
              </w:rPr>
              <w:t>废过滤棉、</w:t>
            </w:r>
            <w:r>
              <w:rPr>
                <w:rFonts w:hint="default" w:ascii="Times New Roman" w:hAnsi="Times New Roman" w:eastAsia="宋体" w:cs="Times New Roman"/>
                <w:color w:val="auto"/>
                <w:highlight w:val="none"/>
              </w:rPr>
              <w:t>废活性炭</w:t>
            </w:r>
            <w:r>
              <w:rPr>
                <w:rFonts w:hint="default" w:ascii="Times New Roman" w:hAnsi="Times New Roman" w:eastAsia="宋体" w:cs="Times New Roman"/>
                <w:color w:val="auto"/>
                <w:highlight w:val="none"/>
                <w:lang w:eastAsia="zh-CN"/>
              </w:rPr>
              <w:t>和含油抹布及手套</w:t>
            </w:r>
            <w:r>
              <w:rPr>
                <w:rFonts w:hint="default" w:ascii="Times New Roman" w:hAnsi="Times New Roman" w:eastAsia="宋体" w:cs="Times New Roman"/>
                <w:color w:val="auto"/>
                <w:highlight w:val="none"/>
              </w:rPr>
              <w:t>。</w:t>
            </w:r>
          </w:p>
          <w:p w14:paraId="7D411119">
            <w:pPr>
              <w:pageBreakBefore w:val="0"/>
              <w:widowControl w:val="0"/>
              <w:numPr>
                <w:ilvl w:val="0"/>
                <w:numId w:val="0"/>
              </w:numPr>
              <w:kinsoku/>
              <w:wordWrap/>
              <w:overflowPunct/>
              <w:topLinePunct w:val="0"/>
              <w:autoSpaceDE/>
              <w:autoSpaceDN/>
              <w:bidi w:val="0"/>
              <w:ind w:firstLine="482"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lang w:eastAsia="zh-CN"/>
              </w:rPr>
              <w:t>生活垃圾：</w:t>
            </w:r>
            <w:r>
              <w:rPr>
                <w:rFonts w:hint="default" w:ascii="Times New Roman" w:hAnsi="Times New Roman" w:eastAsia="宋体" w:cs="Times New Roman"/>
                <w:b w:val="0"/>
                <w:bCs w:val="0"/>
                <w:color w:val="auto"/>
                <w:highlight w:val="none"/>
                <w:lang w:eastAsia="zh-CN"/>
              </w:rPr>
              <w:t>本</w:t>
            </w:r>
            <w:r>
              <w:rPr>
                <w:rFonts w:hint="default" w:ascii="Times New Roman" w:hAnsi="Times New Roman" w:cs="Times New Roman"/>
                <w:color w:val="auto"/>
                <w:highlight w:val="none"/>
              </w:rPr>
              <w:t>项目劳动定员</w:t>
            </w:r>
            <w:r>
              <w:rPr>
                <w:rFonts w:hint="default" w:ascii="Times New Roman" w:hAnsi="Times New Roman" w:cs="Times New Roman"/>
                <w:color w:val="auto"/>
                <w:highlight w:val="none"/>
                <w:lang w:val="en-US" w:eastAsia="zh-CN"/>
              </w:rPr>
              <w:t>40</w:t>
            </w:r>
            <w:r>
              <w:rPr>
                <w:rFonts w:hint="default" w:ascii="Times New Roman" w:hAnsi="Times New Roman" w:cs="Times New Roman"/>
                <w:color w:val="auto"/>
                <w:highlight w:val="none"/>
              </w:rPr>
              <w:t>人，</w:t>
            </w:r>
            <w:r>
              <w:rPr>
                <w:rFonts w:hint="default" w:ascii="Times New Roman" w:hAnsi="Times New Roman" w:cs="Times New Roman"/>
                <w:color w:val="auto"/>
                <w:highlight w:val="none"/>
                <w:lang w:eastAsia="zh-CN"/>
              </w:rPr>
              <w:t>根据《城镇生活源产排污系数手册》，每人每天产生垃圾按0.5kg计</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eastAsia="zh-CN"/>
              </w:rPr>
              <w:t>本项目</w:t>
            </w:r>
            <w:r>
              <w:rPr>
                <w:rFonts w:hint="default" w:ascii="Times New Roman" w:hAnsi="Times New Roman" w:cs="Times New Roman"/>
                <w:color w:val="auto"/>
                <w:highlight w:val="none"/>
                <w:lang w:val="en-US" w:eastAsia="zh-CN"/>
              </w:rPr>
              <w:t>40</w:t>
            </w:r>
            <w:r>
              <w:rPr>
                <w:rFonts w:hint="default" w:ascii="Times New Roman" w:hAnsi="Times New Roman" w:cs="Times New Roman"/>
                <w:color w:val="auto"/>
                <w:highlight w:val="none"/>
              </w:rPr>
              <w:t>人，生活垃圾产生量为</w:t>
            </w:r>
            <w:r>
              <w:rPr>
                <w:rFonts w:hint="default" w:ascii="Times New Roman" w:hAnsi="Times New Roman" w:cs="Times New Roman"/>
                <w:color w:val="auto"/>
                <w:highlight w:val="none"/>
                <w:lang w:val="en-US" w:eastAsia="zh-CN"/>
              </w:rPr>
              <w:t>20</w:t>
            </w:r>
            <w:r>
              <w:rPr>
                <w:rFonts w:hint="default" w:ascii="Times New Roman" w:hAnsi="Times New Roman" w:cs="Times New Roman"/>
                <w:color w:val="auto"/>
                <w:highlight w:val="none"/>
              </w:rPr>
              <w:t>kg/d，则年产生量为</w:t>
            </w: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t/a，</w:t>
            </w:r>
            <w:r>
              <w:rPr>
                <w:rFonts w:hint="default" w:ascii="Times New Roman" w:hAnsi="Times New Roman" w:cs="Times New Roman"/>
                <w:color w:val="auto"/>
                <w:highlight w:val="none"/>
                <w:lang w:eastAsia="zh-CN"/>
              </w:rPr>
              <w:t>生活垃圾集中收集后，委托环卫部门定期清运处置。</w:t>
            </w:r>
          </w:p>
          <w:p w14:paraId="76544FE2">
            <w:pPr>
              <w:numPr>
                <w:ilvl w:val="0"/>
                <w:numId w:val="0"/>
              </w:numPr>
              <w:ind w:leftChars="20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一般固废：</w:t>
            </w:r>
          </w:p>
          <w:p w14:paraId="094FBAAA">
            <w:pPr>
              <w:numPr>
                <w:ilvl w:val="0"/>
                <w:numId w:val="8"/>
              </w:num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废包装物：</w:t>
            </w:r>
          </w:p>
          <w:p w14:paraId="36303105">
            <w:pPr>
              <w:numPr>
                <w:ilvl w:val="0"/>
                <w:numId w:val="0"/>
              </w:numPr>
              <w:ind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本项目生产过程中原料拆包、成品包装过程中会产生废包装物，</w:t>
            </w:r>
            <w:r>
              <w:rPr>
                <w:rFonts w:hint="eastAsia" w:cs="Times New Roman"/>
                <w:color w:val="auto"/>
                <w:highlight w:val="none"/>
                <w:lang w:val="en-US" w:eastAsia="zh-CN"/>
              </w:rPr>
              <w:t>聚丙烯和色母粒包装规格均为25kg/袋，包装袋重量约为120g根据原料清单表，本项目年使用聚丙烯48000袋，色母粒2400袋，则原料拆包废包装物产生量约为6.048t/a，考虑成品包装中损耗，本项目废包装物</w:t>
            </w:r>
            <w:r>
              <w:rPr>
                <w:rFonts w:hint="default" w:ascii="Times New Roman" w:hAnsi="Times New Roman" w:cs="Times New Roman"/>
                <w:color w:val="auto"/>
                <w:highlight w:val="none"/>
                <w:lang w:val="en-US" w:eastAsia="zh-CN"/>
              </w:rPr>
              <w:t>产生量约为</w:t>
            </w:r>
            <w:r>
              <w:rPr>
                <w:rFonts w:hint="eastAsia" w:cs="Times New Roman"/>
                <w:color w:val="auto"/>
                <w:highlight w:val="none"/>
                <w:lang w:val="en-US" w:eastAsia="zh-CN"/>
              </w:rPr>
              <w:t>6</w:t>
            </w:r>
            <w:r>
              <w:rPr>
                <w:rFonts w:hint="default" w:ascii="Times New Roman" w:hAnsi="Times New Roman" w:cs="Times New Roman"/>
                <w:color w:val="auto"/>
                <w:highlight w:val="none"/>
                <w:lang w:val="en-US" w:eastAsia="zh-CN"/>
              </w:rPr>
              <w:t>.5t/a，集中收集于一般固废间后外售。</w:t>
            </w:r>
          </w:p>
          <w:p w14:paraId="42477D39">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left"/>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废水性漆桶</w:t>
            </w:r>
          </w:p>
          <w:p w14:paraId="62DF4443">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w:t>
            </w:r>
            <w:r>
              <w:rPr>
                <w:rFonts w:hint="eastAsia" w:ascii="Times New Roman" w:hAnsi="Times New Roman" w:eastAsia="宋体" w:cs="Times New Roman"/>
                <w:color w:val="auto"/>
                <w:kern w:val="2"/>
                <w:sz w:val="24"/>
                <w:szCs w:val="24"/>
                <w:highlight w:val="none"/>
                <w:lang w:val="en-US" w:eastAsia="zh-CN" w:bidi="ar-SA"/>
              </w:rPr>
              <w:t>水性漆的使用</w:t>
            </w:r>
            <w:r>
              <w:rPr>
                <w:rFonts w:hint="default" w:ascii="Times New Roman" w:hAnsi="Times New Roman" w:eastAsia="宋体" w:cs="Times New Roman"/>
                <w:color w:val="auto"/>
                <w:kern w:val="2"/>
                <w:sz w:val="24"/>
                <w:szCs w:val="24"/>
                <w:highlight w:val="none"/>
                <w:lang w:val="en-US" w:eastAsia="zh-CN" w:bidi="ar-SA"/>
              </w:rPr>
              <w:t>过程中</w:t>
            </w:r>
            <w:r>
              <w:rPr>
                <w:rFonts w:hint="eastAsia" w:ascii="Times New Roman" w:hAnsi="Times New Roman" w:eastAsia="宋体" w:cs="Times New Roman"/>
                <w:color w:val="auto"/>
                <w:kern w:val="2"/>
                <w:sz w:val="24"/>
                <w:szCs w:val="24"/>
                <w:highlight w:val="none"/>
                <w:lang w:val="en-US" w:eastAsia="zh-CN" w:bidi="ar-SA"/>
              </w:rPr>
              <w:t>将</w:t>
            </w:r>
            <w:r>
              <w:rPr>
                <w:rFonts w:hint="default" w:ascii="Times New Roman" w:hAnsi="Times New Roman" w:eastAsia="宋体" w:cs="Times New Roman"/>
                <w:color w:val="auto"/>
                <w:kern w:val="2"/>
                <w:sz w:val="24"/>
                <w:szCs w:val="24"/>
                <w:highlight w:val="none"/>
                <w:lang w:val="en-US" w:eastAsia="zh-CN" w:bidi="ar-SA"/>
              </w:rPr>
              <w:t>产生</w:t>
            </w:r>
            <w:r>
              <w:rPr>
                <w:rFonts w:hint="eastAsia" w:ascii="Times New Roman" w:hAnsi="Times New Roman" w:eastAsia="宋体" w:cs="Times New Roman"/>
                <w:color w:val="auto"/>
                <w:kern w:val="2"/>
                <w:sz w:val="24"/>
                <w:szCs w:val="24"/>
                <w:highlight w:val="none"/>
                <w:lang w:val="en-US" w:eastAsia="zh-CN" w:bidi="ar-SA"/>
              </w:rPr>
              <w:t>废水性漆桶</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水性漆桶包装规格为25kg/桶，包装桶重量约为1.0kg，根据原料清单表，本项目年使用水性漆187桶，本项目废水性漆桶的产生量约为0.1</w:t>
            </w:r>
            <w:r>
              <w:rPr>
                <w:rFonts w:hint="eastAsia" w:cs="Times New Roman"/>
                <w:color w:val="auto"/>
                <w:kern w:val="2"/>
                <w:sz w:val="24"/>
                <w:szCs w:val="24"/>
                <w:highlight w:val="none"/>
                <w:lang w:val="en-US" w:eastAsia="zh-CN" w:bidi="ar-SA"/>
              </w:rPr>
              <w:t>87</w:t>
            </w:r>
            <w:r>
              <w:rPr>
                <w:rFonts w:hint="default" w:ascii="Times New Roman" w:hAnsi="Times New Roman" w:eastAsia="宋体" w:cs="Times New Roman"/>
                <w:color w:val="auto"/>
                <w:kern w:val="2"/>
                <w:sz w:val="24"/>
                <w:szCs w:val="24"/>
                <w:highlight w:val="none"/>
                <w:lang w:val="en-US" w:eastAsia="zh-CN" w:bidi="ar-SA"/>
              </w:rPr>
              <w:t>t/a</w:t>
            </w:r>
            <w:r>
              <w:rPr>
                <w:rFonts w:hint="eastAsia" w:ascii="Times New Roman" w:hAnsi="Times New Roman" w:eastAsia="宋体" w:cs="Times New Roman"/>
                <w:color w:val="auto"/>
                <w:kern w:val="2"/>
                <w:sz w:val="24"/>
                <w:szCs w:val="24"/>
                <w:highlight w:val="none"/>
                <w:lang w:val="en-US" w:eastAsia="zh-CN" w:bidi="ar-SA"/>
              </w:rPr>
              <w:t>，厂家回收</w:t>
            </w:r>
            <w:r>
              <w:rPr>
                <w:rFonts w:hint="default" w:ascii="Times New Roman" w:hAnsi="Times New Roman" w:eastAsia="宋体" w:cs="Times New Roman"/>
                <w:color w:val="auto"/>
                <w:kern w:val="2"/>
                <w:sz w:val="24"/>
                <w:szCs w:val="24"/>
                <w:highlight w:val="none"/>
                <w:lang w:val="en-US" w:eastAsia="zh-CN" w:bidi="ar-SA"/>
              </w:rPr>
              <w:t>处置。</w:t>
            </w:r>
          </w:p>
          <w:p w14:paraId="7A709AC8">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left"/>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w:t>
            </w:r>
            <w:r>
              <w:rPr>
                <w:rFonts w:hint="eastAsia" w:ascii="Times New Roman" w:hAnsi="Times New Roman" w:eastAsia="宋体" w:cs="Times New Roman"/>
                <w:color w:val="auto"/>
                <w:sz w:val="24"/>
                <w:szCs w:val="24"/>
                <w:lang w:val="en-US" w:eastAsia="zh-CN"/>
              </w:rPr>
              <w:t>水性漆漆渣</w:t>
            </w:r>
          </w:p>
          <w:p w14:paraId="3FCBC1BD">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color w:val="auto"/>
                <w:sz w:val="24"/>
                <w:szCs w:val="24"/>
                <w:lang w:val="en-US" w:eastAsia="zh-CN"/>
              </w:rPr>
            </w:pPr>
            <w:r>
              <w:rPr>
                <w:rFonts w:hint="eastAsia" w:ascii="Times New Roman" w:hAnsi="Times New Roman" w:eastAsia="宋体" w:cs="Times New Roman"/>
                <w:color w:val="auto"/>
                <w:sz w:val="24"/>
                <w:szCs w:val="24"/>
                <w:lang w:val="en-US" w:eastAsia="zh-CN"/>
              </w:rPr>
              <w:t>本项目喷漆过程中会产生漆渣。根据物料平衡，本项目漆渣产生量约为0.0</w:t>
            </w:r>
            <w:r>
              <w:rPr>
                <w:rFonts w:hint="eastAsia" w:cs="Times New Roman"/>
                <w:color w:val="auto"/>
                <w:sz w:val="24"/>
                <w:szCs w:val="24"/>
                <w:lang w:val="en-US" w:eastAsia="zh-CN"/>
              </w:rPr>
              <w:t>315</w:t>
            </w:r>
            <w:r>
              <w:rPr>
                <w:rFonts w:hint="default" w:ascii="Times New Roman" w:hAnsi="Times New Roman" w:eastAsia="宋体" w:cs="Times New Roman"/>
                <w:color w:val="auto"/>
                <w:sz w:val="24"/>
                <w:szCs w:val="24"/>
                <w:lang w:val="en-US" w:eastAsia="zh-CN"/>
              </w:rPr>
              <w:t>t/a</w:t>
            </w:r>
            <w:r>
              <w:rPr>
                <w:rFonts w:hint="eastAsia" w:ascii="Times New Roman" w:hAnsi="Times New Roman" w:eastAsia="宋体" w:cs="Times New Roman"/>
                <w:color w:val="auto"/>
                <w:sz w:val="24"/>
                <w:szCs w:val="24"/>
                <w:lang w:val="en-US" w:eastAsia="zh-CN"/>
              </w:rPr>
              <w:t>，交由有技术能力的单位处理。</w:t>
            </w:r>
          </w:p>
          <w:p w14:paraId="6ECEC3AB">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zh-CN" w:eastAsia="zh-CN" w:bidi="ar"/>
              </w:rPr>
            </w:pPr>
            <w:r>
              <w:rPr>
                <w:rFonts w:hint="default" w:ascii="Times New Roman" w:hAnsi="Times New Roman" w:eastAsia="宋体" w:cs="Times New Roman"/>
                <w:b/>
                <w:bCs/>
                <w:color w:val="auto"/>
                <w:kern w:val="0"/>
                <w:sz w:val="21"/>
                <w:szCs w:val="21"/>
                <w:highlight w:val="none"/>
                <w:lang w:val="zh-CN" w:eastAsia="zh-CN" w:bidi="ar"/>
              </w:rPr>
              <w:t>表</w:t>
            </w:r>
            <w:r>
              <w:rPr>
                <w:rFonts w:hint="default" w:ascii="Times New Roman" w:hAnsi="Times New Roman" w:eastAsia="宋体" w:cs="Times New Roman"/>
                <w:b/>
                <w:bCs/>
                <w:color w:val="auto"/>
                <w:kern w:val="0"/>
                <w:sz w:val="21"/>
                <w:szCs w:val="21"/>
                <w:highlight w:val="none"/>
                <w:lang w:val="en-US" w:eastAsia="zh-CN" w:bidi="ar"/>
              </w:rPr>
              <w:t>4-1</w:t>
            </w:r>
            <w:r>
              <w:rPr>
                <w:rFonts w:hint="default" w:ascii="Times New Roman" w:hAnsi="Times New Roman" w:cs="Times New Roman"/>
                <w:b/>
                <w:bCs/>
                <w:color w:val="auto"/>
                <w:kern w:val="0"/>
                <w:sz w:val="21"/>
                <w:szCs w:val="21"/>
                <w:highlight w:val="none"/>
                <w:lang w:val="en-US" w:eastAsia="zh-CN" w:bidi="ar"/>
              </w:rPr>
              <w:t>5</w:t>
            </w:r>
            <w:r>
              <w:rPr>
                <w:rFonts w:hint="default" w:ascii="Times New Roman" w:hAnsi="Times New Roman" w:eastAsia="宋体" w:cs="Times New Roman"/>
                <w:b/>
                <w:bCs/>
                <w:color w:val="auto"/>
                <w:kern w:val="0"/>
                <w:sz w:val="21"/>
                <w:szCs w:val="21"/>
                <w:highlight w:val="none"/>
                <w:lang w:val="en-US" w:eastAsia="zh-CN" w:bidi="ar"/>
              </w:rPr>
              <w:t xml:space="preserve">  </w:t>
            </w:r>
            <w:r>
              <w:rPr>
                <w:rFonts w:hint="default" w:ascii="Times New Roman" w:hAnsi="Times New Roman" w:eastAsia="宋体" w:cs="Times New Roman"/>
                <w:b/>
                <w:bCs/>
                <w:color w:val="auto"/>
                <w:kern w:val="0"/>
                <w:sz w:val="21"/>
                <w:szCs w:val="21"/>
                <w:highlight w:val="none"/>
                <w:lang w:val="zh-CN" w:eastAsia="zh-CN" w:bidi="ar"/>
              </w:rPr>
              <w:t>一般固体废物产生情况</w:t>
            </w:r>
            <w:r>
              <w:rPr>
                <w:rFonts w:hint="default" w:ascii="Times New Roman" w:hAnsi="Times New Roman" w:eastAsia="宋体" w:cs="Times New Roman"/>
                <w:b/>
                <w:bCs/>
                <w:color w:val="auto"/>
                <w:kern w:val="0"/>
                <w:sz w:val="21"/>
                <w:szCs w:val="21"/>
                <w:highlight w:val="none"/>
                <w:lang w:val="en-US" w:eastAsia="zh-CN" w:bidi="ar"/>
              </w:rPr>
              <w:t>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01"/>
              <w:gridCol w:w="1046"/>
              <w:gridCol w:w="929"/>
              <w:gridCol w:w="1160"/>
              <w:gridCol w:w="1391"/>
              <w:gridCol w:w="841"/>
              <w:gridCol w:w="2031"/>
            </w:tblGrid>
            <w:tr w14:paraId="2F35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57" w:type="pct"/>
                  <w:vAlign w:val="center"/>
                </w:tcPr>
                <w:p w14:paraId="2514424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序号</w:t>
                  </w:r>
                </w:p>
              </w:tc>
              <w:tc>
                <w:tcPr>
                  <w:tcW w:w="670" w:type="pct"/>
                  <w:vAlign w:val="center"/>
                </w:tcPr>
                <w:p w14:paraId="00D4A9F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名称</w:t>
                  </w:r>
                </w:p>
              </w:tc>
              <w:tc>
                <w:tcPr>
                  <w:tcW w:w="595" w:type="pct"/>
                  <w:vAlign w:val="center"/>
                </w:tcPr>
                <w:p w14:paraId="6765D9A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产生环节</w:t>
                  </w:r>
                </w:p>
              </w:tc>
              <w:tc>
                <w:tcPr>
                  <w:tcW w:w="743" w:type="pct"/>
                  <w:vAlign w:val="center"/>
                </w:tcPr>
                <w:p w14:paraId="5DA377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物理性状</w:t>
                  </w:r>
                </w:p>
              </w:tc>
              <w:tc>
                <w:tcPr>
                  <w:tcW w:w="891" w:type="pct"/>
                  <w:vAlign w:val="center"/>
                </w:tcPr>
                <w:p w14:paraId="563C16A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主要成分</w:t>
                  </w:r>
                </w:p>
              </w:tc>
              <w:tc>
                <w:tcPr>
                  <w:tcW w:w="539" w:type="pct"/>
                  <w:vAlign w:val="center"/>
                </w:tcPr>
                <w:p w14:paraId="0B773E0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年产生量（t）</w:t>
                  </w:r>
                </w:p>
              </w:tc>
              <w:tc>
                <w:tcPr>
                  <w:tcW w:w="1302" w:type="pct"/>
                  <w:vAlign w:val="center"/>
                </w:tcPr>
                <w:p w14:paraId="4C7C12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default" w:ascii="Times New Roman" w:hAnsi="Times New Roman" w:cs="Times New Roman"/>
                      <w:b/>
                      <w:bCs/>
                      <w:color w:val="auto"/>
                      <w:kern w:val="0"/>
                      <w:sz w:val="21"/>
                      <w:szCs w:val="21"/>
                      <w:highlight w:val="none"/>
                      <w:lang w:val="en-US" w:eastAsia="zh-CN"/>
                    </w:rPr>
                    <w:t>污染防治措施</w:t>
                  </w:r>
                </w:p>
              </w:tc>
            </w:tr>
            <w:tr w14:paraId="5113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57" w:type="pct"/>
                  <w:vAlign w:val="center"/>
                </w:tcPr>
                <w:p w14:paraId="0E91BB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1</w:t>
                  </w:r>
                </w:p>
              </w:tc>
              <w:tc>
                <w:tcPr>
                  <w:tcW w:w="670" w:type="pct"/>
                  <w:vAlign w:val="center"/>
                </w:tcPr>
                <w:p w14:paraId="3119465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eastAsia="zh-CN"/>
                    </w:rPr>
                    <w:t>废包装物</w:t>
                  </w:r>
                </w:p>
              </w:tc>
              <w:tc>
                <w:tcPr>
                  <w:tcW w:w="595" w:type="pct"/>
                  <w:vAlign w:val="center"/>
                </w:tcPr>
                <w:p w14:paraId="39FF31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原料包装</w:t>
                  </w:r>
                </w:p>
              </w:tc>
              <w:tc>
                <w:tcPr>
                  <w:tcW w:w="743" w:type="pct"/>
                  <w:vAlign w:val="center"/>
                </w:tcPr>
                <w:p w14:paraId="5972C8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固态</w:t>
                  </w:r>
                </w:p>
              </w:tc>
              <w:tc>
                <w:tcPr>
                  <w:tcW w:w="891" w:type="pct"/>
                  <w:vAlign w:val="center"/>
                </w:tcPr>
                <w:p w14:paraId="6E51FC7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废包装袋</w:t>
                  </w:r>
                </w:p>
              </w:tc>
              <w:tc>
                <w:tcPr>
                  <w:tcW w:w="539" w:type="pct"/>
                  <w:vAlign w:val="center"/>
                </w:tcPr>
                <w:p w14:paraId="2D96B04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6.5</w:t>
                  </w:r>
                </w:p>
              </w:tc>
              <w:tc>
                <w:tcPr>
                  <w:tcW w:w="1302" w:type="pct"/>
                  <w:vMerge w:val="restart"/>
                  <w:vAlign w:val="center"/>
                </w:tcPr>
                <w:p w14:paraId="0D636F7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spacing w:val="-3"/>
                      <w:sz w:val="21"/>
                      <w:szCs w:val="21"/>
                      <w:highlight w:val="none"/>
                      <w:lang w:val="en-US" w:eastAsia="zh-CN"/>
                    </w:rPr>
                  </w:pPr>
                  <w:r>
                    <w:rPr>
                      <w:rFonts w:hint="default" w:ascii="Times New Roman" w:hAnsi="Times New Roman" w:eastAsia="宋体" w:cs="Times New Roman"/>
                      <w:color w:val="auto"/>
                      <w:sz w:val="21"/>
                      <w:szCs w:val="21"/>
                      <w:highlight w:val="none"/>
                    </w:rPr>
                    <w:t>集中收集于一般固废间后外售</w:t>
                  </w:r>
                </w:p>
              </w:tc>
            </w:tr>
            <w:tr w14:paraId="71817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57" w:type="pct"/>
                  <w:vAlign w:val="center"/>
                </w:tcPr>
                <w:p w14:paraId="7816ACB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2</w:t>
                  </w:r>
                </w:p>
              </w:tc>
              <w:tc>
                <w:tcPr>
                  <w:tcW w:w="670" w:type="pct"/>
                  <w:shd w:val="clear" w:color="auto" w:fill="auto"/>
                  <w:vAlign w:val="center"/>
                </w:tcPr>
                <w:p w14:paraId="07F9670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废水性漆桶</w:t>
                  </w:r>
                </w:p>
              </w:tc>
              <w:tc>
                <w:tcPr>
                  <w:tcW w:w="595" w:type="pct"/>
                  <w:vMerge w:val="restart"/>
                  <w:vAlign w:val="center"/>
                </w:tcPr>
                <w:p w14:paraId="2FADC95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喷漆</w:t>
                  </w:r>
                </w:p>
              </w:tc>
              <w:tc>
                <w:tcPr>
                  <w:tcW w:w="743" w:type="pct"/>
                  <w:vAlign w:val="center"/>
                </w:tcPr>
                <w:p w14:paraId="34E361A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固态</w:t>
                  </w:r>
                </w:p>
              </w:tc>
              <w:tc>
                <w:tcPr>
                  <w:tcW w:w="891" w:type="pct"/>
                  <w:vMerge w:val="restart"/>
                  <w:vAlign w:val="center"/>
                </w:tcPr>
                <w:p w14:paraId="73B64B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水性漆</w:t>
                  </w:r>
                </w:p>
              </w:tc>
              <w:tc>
                <w:tcPr>
                  <w:tcW w:w="539" w:type="pct"/>
                  <w:vAlign w:val="center"/>
                </w:tcPr>
                <w:p w14:paraId="0ACDC50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0.1</w:t>
                  </w:r>
                  <w:r>
                    <w:rPr>
                      <w:rFonts w:hint="eastAsia" w:cs="Times New Roman"/>
                      <w:color w:val="auto"/>
                      <w:kern w:val="0"/>
                      <w:sz w:val="21"/>
                      <w:szCs w:val="21"/>
                      <w:highlight w:val="none"/>
                      <w:lang w:val="en-US" w:eastAsia="zh-CN" w:bidi="ar-SA"/>
                    </w:rPr>
                    <w:t>87</w:t>
                  </w:r>
                </w:p>
              </w:tc>
              <w:tc>
                <w:tcPr>
                  <w:tcW w:w="1302" w:type="pct"/>
                  <w:vMerge w:val="continue"/>
                  <w:vAlign w:val="center"/>
                </w:tcPr>
                <w:p w14:paraId="18F1CF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rPr>
                  </w:pPr>
                </w:p>
              </w:tc>
            </w:tr>
            <w:tr w14:paraId="4F6C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57" w:type="pct"/>
                  <w:vAlign w:val="center"/>
                </w:tcPr>
                <w:p w14:paraId="623FFB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3</w:t>
                  </w:r>
                </w:p>
              </w:tc>
              <w:tc>
                <w:tcPr>
                  <w:tcW w:w="670" w:type="pct"/>
                  <w:shd w:val="clear" w:color="auto" w:fill="auto"/>
                  <w:vAlign w:val="center"/>
                </w:tcPr>
                <w:p w14:paraId="0A8831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水性漆漆渣</w:t>
                  </w:r>
                </w:p>
              </w:tc>
              <w:tc>
                <w:tcPr>
                  <w:tcW w:w="595" w:type="pct"/>
                  <w:vMerge w:val="continue"/>
                  <w:vAlign w:val="center"/>
                </w:tcPr>
                <w:p w14:paraId="43E7BA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743" w:type="pct"/>
                  <w:vAlign w:val="center"/>
                </w:tcPr>
                <w:p w14:paraId="2AAAD1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固态</w:t>
                  </w:r>
                </w:p>
              </w:tc>
              <w:tc>
                <w:tcPr>
                  <w:tcW w:w="891" w:type="pct"/>
                  <w:vMerge w:val="continue"/>
                  <w:vAlign w:val="center"/>
                </w:tcPr>
                <w:p w14:paraId="14892D4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539" w:type="pct"/>
                  <w:vAlign w:val="center"/>
                </w:tcPr>
                <w:p w14:paraId="3081E81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0.0</w:t>
                  </w:r>
                  <w:r>
                    <w:rPr>
                      <w:rFonts w:hint="eastAsia" w:cs="Times New Roman"/>
                      <w:color w:val="auto"/>
                      <w:kern w:val="0"/>
                      <w:sz w:val="21"/>
                      <w:szCs w:val="21"/>
                      <w:highlight w:val="none"/>
                      <w:lang w:val="en-US" w:eastAsia="zh-CN" w:bidi="ar-SA"/>
                    </w:rPr>
                    <w:t>315</w:t>
                  </w:r>
                </w:p>
              </w:tc>
              <w:tc>
                <w:tcPr>
                  <w:tcW w:w="1302" w:type="pct"/>
                  <w:vMerge w:val="continue"/>
                  <w:vAlign w:val="center"/>
                </w:tcPr>
                <w:p w14:paraId="171B51D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rPr>
                  </w:pPr>
                </w:p>
              </w:tc>
            </w:tr>
            <w:tr w14:paraId="21B5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57" w:type="pct"/>
                  <w:vAlign w:val="center"/>
                </w:tcPr>
                <w:p w14:paraId="591159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4</w:t>
                  </w:r>
                </w:p>
              </w:tc>
              <w:tc>
                <w:tcPr>
                  <w:tcW w:w="670" w:type="pct"/>
                  <w:shd w:val="clear" w:color="auto" w:fill="auto"/>
                  <w:vAlign w:val="center"/>
                </w:tcPr>
                <w:p w14:paraId="12910A2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生活垃圾</w:t>
                  </w:r>
                </w:p>
              </w:tc>
              <w:tc>
                <w:tcPr>
                  <w:tcW w:w="595" w:type="pct"/>
                  <w:shd w:val="clear" w:color="auto" w:fill="auto"/>
                  <w:vAlign w:val="center"/>
                </w:tcPr>
                <w:p w14:paraId="700DF3E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职工生活</w:t>
                  </w:r>
                </w:p>
              </w:tc>
              <w:tc>
                <w:tcPr>
                  <w:tcW w:w="743" w:type="pct"/>
                  <w:shd w:val="clear" w:color="auto" w:fill="auto"/>
                  <w:vAlign w:val="center"/>
                </w:tcPr>
                <w:p w14:paraId="7CA49B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固态</w:t>
                  </w:r>
                </w:p>
              </w:tc>
              <w:tc>
                <w:tcPr>
                  <w:tcW w:w="891" w:type="pct"/>
                  <w:shd w:val="clear" w:color="auto" w:fill="auto"/>
                  <w:vAlign w:val="center"/>
                </w:tcPr>
                <w:p w14:paraId="060EFFF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生活垃圾</w:t>
                  </w:r>
                </w:p>
              </w:tc>
              <w:tc>
                <w:tcPr>
                  <w:tcW w:w="539" w:type="pct"/>
                  <w:shd w:val="clear" w:color="auto" w:fill="auto"/>
                  <w:vAlign w:val="center"/>
                </w:tcPr>
                <w:p w14:paraId="0E1D8B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6</w:t>
                  </w:r>
                </w:p>
              </w:tc>
              <w:tc>
                <w:tcPr>
                  <w:tcW w:w="1302" w:type="pct"/>
                  <w:shd w:val="clear" w:color="auto" w:fill="auto"/>
                  <w:vAlign w:val="center"/>
                </w:tcPr>
                <w:p w14:paraId="5E6FF0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环卫部门处理</w:t>
                  </w:r>
                </w:p>
              </w:tc>
            </w:tr>
          </w:tbl>
          <w:p w14:paraId="46F1B42E">
            <w:pPr>
              <w:ind w:firstLine="480"/>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危险废物</w:t>
            </w:r>
            <w:r>
              <w:rPr>
                <w:rFonts w:hint="default" w:ascii="Times New Roman" w:hAnsi="Times New Roman" w:cs="Times New Roman"/>
                <w:b/>
                <w:bCs/>
                <w:color w:val="auto"/>
                <w:highlight w:val="none"/>
                <w:lang w:eastAsia="zh-CN"/>
              </w:rPr>
              <w:t>：</w:t>
            </w:r>
          </w:p>
          <w:p w14:paraId="3A841344">
            <w:pPr>
              <w:spacing w:line="360" w:lineRule="auto"/>
              <w:ind w:firstLine="480" w:firstLineChars="200"/>
              <w:jc w:val="both"/>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（1）废活性炭：</w:t>
            </w:r>
          </w:p>
          <w:p w14:paraId="3A26E8E9">
            <w:pPr>
              <w:spacing w:line="360" w:lineRule="auto"/>
              <w:ind w:firstLine="480" w:firstLineChars="200"/>
              <w:jc w:val="both"/>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t>本项目使用</w:t>
            </w:r>
            <w:r>
              <w:rPr>
                <w:rFonts w:hint="default" w:ascii="Times New Roman" w:hAnsi="Times New Roman" w:cs="Times New Roman"/>
                <w:color w:val="auto"/>
                <w:sz w:val="24"/>
                <w:highlight w:val="none"/>
                <w:lang w:val="en-US" w:eastAsia="zh-CN" w:bidi="ar-SA"/>
              </w:rPr>
              <w:t>“</w:t>
            </w:r>
            <w:r>
              <w:rPr>
                <w:rFonts w:hint="default" w:ascii="Times New Roman" w:hAnsi="Times New Roman" w:eastAsia="宋体" w:cs="Times New Roman"/>
                <w:color w:val="auto"/>
                <w:sz w:val="24"/>
                <w:highlight w:val="none"/>
                <w:lang w:val="en-US" w:eastAsia="zh-CN" w:bidi="ar-SA"/>
              </w:rPr>
              <w:t>二级活性炭吸附装置</w:t>
            </w:r>
            <w:r>
              <w:rPr>
                <w:rFonts w:hint="default" w:ascii="Times New Roman" w:hAnsi="Times New Roman" w:cs="Times New Roman"/>
                <w:color w:val="auto"/>
                <w:sz w:val="24"/>
                <w:highlight w:val="none"/>
                <w:lang w:val="en-US" w:eastAsia="zh-CN" w:bidi="ar-SA"/>
              </w:rPr>
              <w:t>”</w:t>
            </w:r>
            <w:r>
              <w:rPr>
                <w:rFonts w:hint="default" w:ascii="Times New Roman" w:hAnsi="Times New Roman" w:eastAsia="宋体" w:cs="Times New Roman"/>
                <w:color w:val="auto"/>
                <w:sz w:val="24"/>
                <w:highlight w:val="none"/>
                <w:lang w:val="en-US" w:eastAsia="zh-CN" w:bidi="ar-SA"/>
              </w:rPr>
              <w:t>对生产车间生产过程中产生的有机废气进行处理，其中的活性炭需定期更换，参考《简明通风设计手册》，活性炭：有机废气=1：0.3，即1kg的活性炭可以吸附0.3kg的有机废气。</w:t>
            </w:r>
          </w:p>
          <w:p w14:paraId="69780FA0">
            <w:pPr>
              <w:spacing w:line="360" w:lineRule="auto"/>
              <w:ind w:firstLine="480" w:firstLineChars="200"/>
              <w:jc w:val="both"/>
              <w:rPr>
                <w:rFonts w:hint="default" w:ascii="Times New Roman" w:hAnsi="Times New Roman" w:eastAsia="宋体" w:cs="Times New Roman"/>
                <w:color w:val="auto"/>
                <w:sz w:val="24"/>
                <w:highlight w:val="none"/>
                <w:lang w:val="en-US" w:eastAsia="zh-CN" w:bidi="ar-SA"/>
              </w:rPr>
            </w:pPr>
            <w:r>
              <w:rPr>
                <w:rFonts w:hint="default" w:ascii="Times New Roman" w:hAnsi="Times New Roman" w:cs="Times New Roman"/>
                <w:bCs/>
                <w:color w:val="auto"/>
                <w:szCs w:val="22"/>
                <w:highlight w:val="none"/>
              </w:rPr>
              <w:t>根据污染源强核算，二级活性炭吸附有机</w:t>
            </w:r>
            <w:r>
              <w:rPr>
                <w:rFonts w:hint="default" w:ascii="Times New Roman" w:hAnsi="Times New Roman" w:eastAsia="宋体" w:cs="Times New Roman"/>
                <w:bCs/>
                <w:color w:val="auto"/>
                <w:szCs w:val="22"/>
                <w:highlight w:val="none"/>
              </w:rPr>
              <w:t>废气量约</w:t>
            </w:r>
            <w:r>
              <w:rPr>
                <w:rFonts w:hint="eastAsia" w:cs="Times New Roman"/>
                <w:bCs/>
                <w:color w:val="auto"/>
                <w:szCs w:val="22"/>
                <w:highlight w:val="none"/>
                <w:lang w:val="en-US" w:eastAsia="zh-CN"/>
              </w:rPr>
              <w:t>2.991</w:t>
            </w:r>
            <w:r>
              <w:rPr>
                <w:rFonts w:hint="default" w:ascii="Times New Roman" w:hAnsi="Times New Roman" w:eastAsia="宋体" w:cs="Times New Roman"/>
                <w:bCs/>
                <w:color w:val="auto"/>
                <w:szCs w:val="22"/>
                <w:highlight w:val="none"/>
              </w:rPr>
              <w:t>t/a，</w:t>
            </w:r>
            <w:r>
              <w:rPr>
                <w:rFonts w:hint="default" w:ascii="Times New Roman" w:hAnsi="Times New Roman" w:cs="Times New Roman"/>
                <w:bCs/>
                <w:color w:val="auto"/>
                <w:szCs w:val="22"/>
                <w:highlight w:val="none"/>
              </w:rPr>
              <w:t>则废活性炭产生量约为</w:t>
            </w:r>
            <w:r>
              <w:rPr>
                <w:rFonts w:hint="eastAsia" w:cs="Times New Roman"/>
                <w:bCs/>
                <w:color w:val="auto"/>
                <w:szCs w:val="22"/>
                <w:highlight w:val="none"/>
                <w:lang w:val="en-US" w:eastAsia="zh-CN"/>
              </w:rPr>
              <w:t>13</w:t>
            </w:r>
            <w:r>
              <w:rPr>
                <w:rFonts w:hint="default" w:ascii="Times New Roman" w:hAnsi="Times New Roman" w:cs="Times New Roman"/>
                <w:color w:val="auto"/>
                <w:highlight w:val="none"/>
              </w:rPr>
              <w:t>t/a</w:t>
            </w:r>
            <w:r>
              <w:rPr>
                <w:rFonts w:hint="default" w:ascii="Times New Roman" w:hAnsi="Times New Roman" w:cs="Times New Roman"/>
                <w:bCs/>
                <w:color w:val="auto"/>
                <w:szCs w:val="22"/>
                <w:highlight w:val="none"/>
              </w:rPr>
              <w:t>。废活性炭</w:t>
            </w:r>
            <w:r>
              <w:rPr>
                <w:rFonts w:hint="default" w:ascii="Times New Roman" w:hAnsi="Times New Roman" w:eastAsia="宋体" w:cs="Times New Roman"/>
                <w:color w:val="auto"/>
                <w:sz w:val="24"/>
                <w:highlight w:val="none"/>
                <w:lang w:val="en-US" w:eastAsia="zh-CN" w:bidi="ar-SA"/>
              </w:rPr>
              <w:t>属于《国家危险废物名录》（202</w:t>
            </w:r>
            <w:r>
              <w:rPr>
                <w:rFonts w:hint="default" w:ascii="Times New Roman" w:hAnsi="Times New Roman" w:cs="Times New Roman"/>
                <w:color w:val="auto"/>
                <w:sz w:val="24"/>
                <w:highlight w:val="none"/>
                <w:lang w:val="en-US" w:eastAsia="zh-CN" w:bidi="ar-SA"/>
              </w:rPr>
              <w:t>5</w:t>
            </w:r>
            <w:r>
              <w:rPr>
                <w:rFonts w:hint="default" w:ascii="Times New Roman" w:hAnsi="Times New Roman" w:eastAsia="宋体" w:cs="Times New Roman"/>
                <w:color w:val="auto"/>
                <w:sz w:val="24"/>
                <w:highlight w:val="none"/>
                <w:lang w:val="en-US" w:eastAsia="zh-CN" w:bidi="ar-SA"/>
              </w:rPr>
              <w:t>年版）中HW49其他废物</w:t>
            </w:r>
            <w:r>
              <w:rPr>
                <w:rFonts w:hint="default" w:ascii="Times New Roman" w:hAnsi="Times New Roman" w:cs="Times New Roman"/>
                <w:color w:val="auto"/>
                <w:sz w:val="24"/>
                <w:highlight w:val="none"/>
                <w:lang w:val="en-US" w:eastAsia="zh-CN" w:bidi="ar-SA"/>
              </w:rPr>
              <w:t>“</w:t>
            </w:r>
            <w:r>
              <w:rPr>
                <w:rFonts w:hint="default" w:ascii="Times New Roman" w:hAnsi="Times New Roman" w:eastAsia="宋体" w:cs="Times New Roman"/>
                <w:color w:val="auto"/>
                <w:sz w:val="24"/>
                <w:highlight w:val="none"/>
                <w:lang w:val="en-US" w:eastAsia="zh-CN" w:bidi="ar-SA"/>
              </w:rPr>
              <w:t>烟气、</w:t>
            </w:r>
            <w:r>
              <w:rPr>
                <w:rFonts w:hint="default" w:ascii="Times New Roman" w:hAnsi="Times New Roman" w:cs="Times New Roman"/>
                <w:color w:val="auto"/>
                <w:sz w:val="24"/>
                <w:highlight w:val="none"/>
                <w:lang w:val="en-US" w:eastAsia="zh-CN" w:bidi="ar-SA"/>
              </w:rPr>
              <w:t>VOCS</w:t>
            </w:r>
            <w:r>
              <w:rPr>
                <w:rFonts w:hint="default" w:ascii="Times New Roman" w:hAnsi="Times New Roman" w:eastAsia="宋体" w:cs="Times New Roman"/>
                <w:color w:val="auto"/>
                <w:sz w:val="24"/>
                <w:highlight w:val="none"/>
                <w:lang w:val="en-US" w:eastAsia="zh-CN" w:bidi="ar-SA"/>
              </w:rPr>
              <w:t>治理过程（不包括餐饮行业油烟治理过程）产生的废活性炭，化学原料和化学制品脱色（不包括有机合成食品添加剂脱色）、除杂、净化过程产生的废活性炭</w:t>
            </w:r>
            <w:r>
              <w:rPr>
                <w:rFonts w:hint="default" w:ascii="Times New Roman" w:hAnsi="Times New Roman" w:cs="Times New Roman"/>
                <w:color w:val="auto"/>
                <w:sz w:val="24"/>
                <w:highlight w:val="none"/>
                <w:lang w:val="en-US" w:eastAsia="zh-CN" w:bidi="ar-SA"/>
              </w:rPr>
              <w:t>”</w:t>
            </w:r>
            <w:r>
              <w:rPr>
                <w:rFonts w:hint="default" w:ascii="Times New Roman" w:hAnsi="Times New Roman" w:eastAsia="宋体" w:cs="Times New Roman"/>
                <w:color w:val="auto"/>
                <w:sz w:val="24"/>
                <w:highlight w:val="none"/>
                <w:lang w:val="en-US" w:eastAsia="zh-CN" w:bidi="ar-SA"/>
              </w:rPr>
              <w:t>，收集后交由有资质单位处置。</w:t>
            </w:r>
          </w:p>
          <w:p w14:paraId="0162C7C1">
            <w:pPr>
              <w:numPr>
                <w:ilvl w:val="0"/>
                <w:numId w:val="8"/>
              </w:numPr>
              <w:spacing w:line="360" w:lineRule="auto"/>
              <w:ind w:left="0" w:leftChars="0" w:firstLine="480" w:firstLineChars="200"/>
              <w:rPr>
                <w:rFonts w:hint="eastAsia" w:eastAsia="新宋体" w:cs="Times New Roman"/>
                <w:color w:val="auto"/>
                <w:kern w:val="2"/>
                <w:sz w:val="24"/>
                <w:szCs w:val="24"/>
                <w:lang w:val="en-US" w:eastAsia="zh-CN"/>
              </w:rPr>
            </w:pPr>
            <w:r>
              <w:rPr>
                <w:rFonts w:hint="eastAsia" w:eastAsia="新宋体" w:cs="Times New Roman"/>
                <w:color w:val="auto"/>
                <w:kern w:val="2"/>
                <w:sz w:val="24"/>
                <w:szCs w:val="24"/>
                <w:lang w:val="en-US" w:eastAsia="zh-CN"/>
              </w:rPr>
              <w:t>废过滤棉：</w:t>
            </w:r>
          </w:p>
          <w:p w14:paraId="0C763AE2">
            <w:pPr>
              <w:numPr>
                <w:ilvl w:val="0"/>
                <w:numId w:val="0"/>
              </w:numPr>
              <w:spacing w:line="360" w:lineRule="auto"/>
              <w:ind w:firstLine="480" w:firstLineChars="200"/>
              <w:rPr>
                <w:rFonts w:ascii="Times New Roman" w:hAnsi="Times New Roman"/>
                <w:color w:val="auto"/>
                <w:sz w:val="24"/>
                <w:szCs w:val="24"/>
              </w:rPr>
            </w:pPr>
            <w:r>
              <w:rPr>
                <w:rFonts w:hint="eastAsia" w:eastAsia="新宋体" w:cs="Times New Roman"/>
                <w:color w:val="auto"/>
                <w:kern w:val="2"/>
                <w:sz w:val="24"/>
                <w:szCs w:val="24"/>
                <w:lang w:val="en-US" w:eastAsia="zh-CN"/>
              </w:rPr>
              <w:t>本项目废气处理设备会产生废过滤棉，产生量约</w:t>
            </w:r>
            <w:r>
              <w:rPr>
                <w:rFonts w:hint="eastAsia"/>
                <w:color w:val="auto"/>
                <w:sz w:val="24"/>
                <w:szCs w:val="24"/>
                <w:lang w:val="en-US" w:eastAsia="zh-CN"/>
              </w:rPr>
              <w:t>0.5t</w:t>
            </w:r>
            <w:r>
              <w:rPr>
                <w:rFonts w:ascii="Times New Roman" w:hAnsi="Times New Roman"/>
                <w:color w:val="auto"/>
                <w:sz w:val="24"/>
                <w:szCs w:val="24"/>
              </w:rPr>
              <w:t>/</w:t>
            </w:r>
            <w:r>
              <w:rPr>
                <w:rFonts w:hint="eastAsia"/>
                <w:color w:val="auto"/>
                <w:sz w:val="24"/>
                <w:szCs w:val="24"/>
                <w:lang w:val="en-US" w:eastAsia="zh-CN"/>
              </w:rPr>
              <w:t>a</w:t>
            </w:r>
            <w:r>
              <w:rPr>
                <w:rFonts w:ascii="Times New Roman" w:hAnsi="Times New Roman"/>
                <w:color w:val="auto"/>
                <w:sz w:val="24"/>
                <w:szCs w:val="24"/>
              </w:rPr>
              <w:t>，属于危险废物HW49</w:t>
            </w:r>
            <w:r>
              <w:rPr>
                <w:rFonts w:ascii="Times New Roman" w:hAnsi="Times New Roman" w:cs="Times New Roman"/>
                <w:color w:val="auto"/>
                <w:sz w:val="24"/>
              </w:rPr>
              <w:t>其他废物</w:t>
            </w:r>
            <w:r>
              <w:rPr>
                <w:rFonts w:ascii="Times New Roman" w:hAnsi="Times New Roman"/>
                <w:color w:val="auto"/>
                <w:sz w:val="24"/>
                <w:szCs w:val="24"/>
              </w:rPr>
              <w:t>，</w:t>
            </w:r>
            <w:r>
              <w:rPr>
                <w:rFonts w:hint="eastAsia"/>
                <w:color w:val="auto"/>
                <w:sz w:val="24"/>
                <w:szCs w:val="24"/>
                <w:lang w:val="en-US" w:eastAsia="zh-CN"/>
              </w:rPr>
              <w:t>危废代码为</w:t>
            </w:r>
            <w:r>
              <w:rPr>
                <w:rFonts w:ascii="Times New Roman" w:hAnsi="Times New Roman"/>
                <w:color w:val="auto"/>
                <w:sz w:val="24"/>
                <w:szCs w:val="24"/>
              </w:rPr>
              <w:t>900-041-49，收集后外送有资质的单位处理。</w:t>
            </w:r>
          </w:p>
          <w:p w14:paraId="61044E7F">
            <w:pPr>
              <w:numPr>
                <w:ilvl w:val="0"/>
                <w:numId w:val="0"/>
              </w:numPr>
              <w:spacing w:line="360" w:lineRule="auto"/>
              <w:ind w:firstLine="480" w:firstLineChars="200"/>
              <w:jc w:val="both"/>
              <w:rPr>
                <w:rFonts w:hint="default" w:ascii="Times New Roman" w:hAnsi="Times New Roman" w:cs="Times New Roman"/>
                <w:b w:val="0"/>
                <w:bCs w:val="0"/>
                <w:color w:val="auto"/>
                <w:kern w:val="0"/>
                <w:sz w:val="24"/>
                <w:szCs w:val="24"/>
                <w:highlight w:val="none"/>
                <w:lang w:val="en-US" w:eastAsia="zh-CN"/>
              </w:rPr>
            </w:pPr>
            <w:r>
              <w:rPr>
                <w:rFonts w:hint="default" w:ascii="Times New Roman" w:hAnsi="Times New Roman"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val="en-US" w:eastAsia="zh-CN"/>
              </w:rPr>
              <w:t>3</w:t>
            </w:r>
            <w:r>
              <w:rPr>
                <w:rFonts w:hint="default" w:ascii="Times New Roman" w:hAnsi="Times New Roman" w:cs="Times New Roman"/>
                <w:b w:val="0"/>
                <w:bCs w:val="0"/>
                <w:color w:val="auto"/>
                <w:kern w:val="0"/>
                <w:sz w:val="24"/>
                <w:szCs w:val="24"/>
                <w:highlight w:val="none"/>
                <w:lang w:val="en-US" w:eastAsia="zh-CN"/>
              </w:rPr>
              <w:t>）废润滑油</w:t>
            </w:r>
          </w:p>
          <w:p w14:paraId="637BD7FB">
            <w:pPr>
              <w:numPr>
                <w:ilvl w:val="0"/>
                <w:numId w:val="0"/>
              </w:numPr>
              <w:spacing w:line="360" w:lineRule="auto"/>
              <w:ind w:firstLine="480" w:firstLineChars="200"/>
              <w:jc w:val="both"/>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项目生产机械设备维护保养使用润滑油时会产生废润滑油，产生量约为0.</w:t>
            </w:r>
            <w:r>
              <w:rPr>
                <w:rFonts w:hint="default" w:ascii="Times New Roman" w:hAnsi="Times New Roman" w:cs="Times New Roman"/>
                <w:b w:val="0"/>
                <w:bCs w:val="0"/>
                <w:color w:val="auto"/>
                <w:kern w:val="0"/>
                <w:sz w:val="24"/>
                <w:szCs w:val="24"/>
                <w:highlight w:val="none"/>
                <w:lang w:val="en-US" w:eastAsia="zh-CN"/>
              </w:rPr>
              <w:t>01</w:t>
            </w:r>
            <w:r>
              <w:rPr>
                <w:rFonts w:hint="default" w:ascii="Times New Roman" w:hAnsi="Times New Roman" w:eastAsia="宋体" w:cs="Times New Roman"/>
                <w:b w:val="0"/>
                <w:bCs w:val="0"/>
                <w:color w:val="auto"/>
                <w:kern w:val="0"/>
                <w:sz w:val="24"/>
                <w:szCs w:val="24"/>
                <w:highlight w:val="none"/>
                <w:lang w:val="en-US" w:eastAsia="zh-CN"/>
              </w:rPr>
              <w:t>t/a。产生的</w:t>
            </w:r>
            <w:r>
              <w:rPr>
                <w:rFonts w:hint="default" w:ascii="Times New Roman" w:hAnsi="Times New Roman" w:cs="Times New Roman"/>
                <w:b w:val="0"/>
                <w:bCs w:val="0"/>
                <w:color w:val="auto"/>
                <w:kern w:val="0"/>
                <w:sz w:val="24"/>
                <w:szCs w:val="24"/>
                <w:highlight w:val="none"/>
                <w:lang w:val="en-US" w:eastAsia="zh-CN"/>
              </w:rPr>
              <w:t>废润滑油</w:t>
            </w:r>
            <w:r>
              <w:rPr>
                <w:rFonts w:hint="default" w:ascii="Times New Roman" w:hAnsi="Times New Roman" w:eastAsia="宋体" w:cs="Times New Roman"/>
                <w:b w:val="0"/>
                <w:bCs w:val="0"/>
                <w:color w:val="auto"/>
                <w:kern w:val="0"/>
                <w:sz w:val="24"/>
                <w:szCs w:val="24"/>
                <w:highlight w:val="none"/>
                <w:lang w:val="en-US" w:eastAsia="zh-CN"/>
              </w:rPr>
              <w:t>属于危险废物（HW08，900-249-08），收集后暂存危废库，定期交由有资质的单位处置。</w:t>
            </w:r>
          </w:p>
          <w:p w14:paraId="6501E816">
            <w:pPr>
              <w:spacing w:line="360" w:lineRule="auto"/>
              <w:ind w:firstLine="480" w:firstLineChars="200"/>
              <w:jc w:val="both"/>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val="en-US" w:eastAsia="zh-CN"/>
              </w:rPr>
              <w:t>4</w:t>
            </w:r>
            <w:r>
              <w:rPr>
                <w:rFonts w:hint="default" w:ascii="Times New Roman" w:hAnsi="Times New Roman" w:eastAsia="宋体" w:cs="Times New Roman"/>
                <w:b w:val="0"/>
                <w:bCs w:val="0"/>
                <w:color w:val="auto"/>
                <w:kern w:val="0"/>
                <w:sz w:val="24"/>
                <w:szCs w:val="24"/>
                <w:highlight w:val="none"/>
                <w:lang w:val="en-US" w:eastAsia="zh-CN"/>
              </w:rPr>
              <w:t>）废油桶：本项目主要生产设备需定期添加</w:t>
            </w:r>
            <w:r>
              <w:rPr>
                <w:rFonts w:hint="default" w:ascii="Times New Roman" w:hAnsi="Times New Roman" w:cs="Times New Roman"/>
                <w:b w:val="0"/>
                <w:bCs w:val="0"/>
                <w:color w:val="auto"/>
                <w:kern w:val="0"/>
                <w:sz w:val="24"/>
                <w:szCs w:val="24"/>
                <w:highlight w:val="none"/>
                <w:lang w:val="en-US" w:eastAsia="zh-CN"/>
              </w:rPr>
              <w:t>润滑油、液压油</w:t>
            </w:r>
            <w:r>
              <w:rPr>
                <w:rFonts w:hint="default" w:ascii="Times New Roman" w:hAnsi="Times New Roman" w:eastAsia="宋体" w:cs="Times New Roman"/>
                <w:b w:val="0"/>
                <w:bCs w:val="0"/>
                <w:color w:val="auto"/>
                <w:kern w:val="0"/>
                <w:sz w:val="24"/>
                <w:szCs w:val="24"/>
                <w:highlight w:val="none"/>
                <w:lang w:val="en-US" w:eastAsia="zh-CN"/>
              </w:rPr>
              <w:t>进行设备维护，</w:t>
            </w:r>
            <w:r>
              <w:rPr>
                <w:rFonts w:hint="default" w:ascii="Times New Roman" w:hAnsi="Times New Roman" w:cs="Times New Roman"/>
                <w:b w:val="0"/>
                <w:bCs w:val="0"/>
                <w:color w:val="auto"/>
                <w:kern w:val="0"/>
                <w:sz w:val="24"/>
                <w:szCs w:val="24"/>
                <w:highlight w:val="none"/>
                <w:lang w:val="en-US" w:eastAsia="zh-CN"/>
              </w:rPr>
              <w:t>润滑油、液压油</w:t>
            </w:r>
            <w:r>
              <w:rPr>
                <w:rFonts w:hint="default" w:ascii="Times New Roman" w:hAnsi="Times New Roman" w:eastAsia="宋体" w:cs="Times New Roman"/>
                <w:b w:val="0"/>
                <w:bCs w:val="0"/>
                <w:color w:val="auto"/>
                <w:kern w:val="0"/>
                <w:sz w:val="24"/>
                <w:szCs w:val="24"/>
                <w:highlight w:val="none"/>
                <w:lang w:val="en-US" w:eastAsia="zh-CN"/>
              </w:rPr>
              <w:t>原料使用过</w:t>
            </w:r>
            <w:r>
              <w:rPr>
                <w:rFonts w:hint="eastAsia" w:cs="Times New Roman"/>
                <w:b w:val="0"/>
                <w:bCs w:val="0"/>
                <w:color w:val="auto"/>
                <w:kern w:val="0"/>
                <w:sz w:val="24"/>
                <w:szCs w:val="24"/>
                <w:highlight w:val="none"/>
                <w:lang w:val="en-US" w:eastAsia="zh-CN"/>
              </w:rPr>
              <w:t>程中</w:t>
            </w:r>
            <w:r>
              <w:rPr>
                <w:rFonts w:hint="default" w:ascii="Times New Roman" w:hAnsi="Times New Roman" w:eastAsia="宋体" w:cs="Times New Roman"/>
                <w:b w:val="0"/>
                <w:bCs w:val="0"/>
                <w:color w:val="auto"/>
                <w:kern w:val="0"/>
                <w:sz w:val="24"/>
                <w:szCs w:val="24"/>
                <w:highlight w:val="none"/>
                <w:lang w:val="en-US" w:eastAsia="zh-CN"/>
              </w:rPr>
              <w:t>会产生沾染少量油类物质的废包装桶，年产生量约0.05t/a。产生的废油桶属于危险废物（HW08，900-2</w:t>
            </w:r>
            <w:r>
              <w:rPr>
                <w:rFonts w:hint="default" w:ascii="Times New Roman" w:hAnsi="Times New Roman" w:cs="Times New Roman"/>
                <w:b w:val="0"/>
                <w:bCs w:val="0"/>
                <w:color w:val="auto"/>
                <w:kern w:val="0"/>
                <w:sz w:val="24"/>
                <w:szCs w:val="24"/>
                <w:highlight w:val="none"/>
                <w:lang w:val="en-US" w:eastAsia="zh-CN"/>
              </w:rPr>
              <w:t>41</w:t>
            </w:r>
            <w:r>
              <w:rPr>
                <w:rFonts w:hint="default" w:ascii="Times New Roman" w:hAnsi="Times New Roman" w:eastAsia="宋体" w:cs="Times New Roman"/>
                <w:b w:val="0"/>
                <w:bCs w:val="0"/>
                <w:color w:val="auto"/>
                <w:kern w:val="0"/>
                <w:sz w:val="24"/>
                <w:szCs w:val="24"/>
                <w:highlight w:val="none"/>
                <w:lang w:val="en-US" w:eastAsia="zh-CN"/>
              </w:rPr>
              <w:t>-</w:t>
            </w:r>
            <w:r>
              <w:rPr>
                <w:rFonts w:hint="default" w:ascii="Times New Roman" w:hAnsi="Times New Roman" w:cs="Times New Roman"/>
                <w:b w:val="0"/>
                <w:bCs w:val="0"/>
                <w:color w:val="auto"/>
                <w:kern w:val="0"/>
                <w:sz w:val="24"/>
                <w:szCs w:val="24"/>
                <w:highlight w:val="none"/>
                <w:lang w:val="en-US" w:eastAsia="zh-CN"/>
              </w:rPr>
              <w:t>49</w:t>
            </w:r>
            <w:r>
              <w:rPr>
                <w:rFonts w:hint="default" w:ascii="Times New Roman" w:hAnsi="Times New Roman" w:eastAsia="宋体" w:cs="Times New Roman"/>
                <w:b w:val="0"/>
                <w:bCs w:val="0"/>
                <w:color w:val="auto"/>
                <w:kern w:val="0"/>
                <w:sz w:val="24"/>
                <w:szCs w:val="24"/>
                <w:highlight w:val="none"/>
                <w:lang w:val="en-US" w:eastAsia="zh-CN"/>
              </w:rPr>
              <w:t>），收集后暂存危废库，定期交由有资质的单位处置。</w:t>
            </w:r>
          </w:p>
          <w:p w14:paraId="3562D94E">
            <w:pPr>
              <w:pStyle w:val="67"/>
              <w:numPr>
                <w:ilvl w:val="0"/>
                <w:numId w:val="0"/>
              </w:numPr>
              <w:adjustRightInd/>
              <w:snapToGrid/>
              <w:ind w:leftChars="200"/>
              <w:contextualSpacing/>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r>
              <w:rPr>
                <w:rFonts w:hint="eastAsia" w:cs="Times New Roman"/>
                <w:color w:val="auto"/>
                <w:lang w:val="en-US" w:eastAsia="zh-CN"/>
              </w:rPr>
              <w:t>5</w:t>
            </w:r>
            <w:r>
              <w:rPr>
                <w:rFonts w:hint="default" w:ascii="Times New Roman" w:hAnsi="Times New Roman" w:cs="Times New Roman"/>
                <w:color w:val="auto"/>
                <w:lang w:val="en-US" w:eastAsia="zh-CN"/>
              </w:rPr>
              <w:t>）含油抹布及手套</w:t>
            </w:r>
          </w:p>
          <w:p w14:paraId="5EC4315D">
            <w:pPr>
              <w:pStyle w:val="67"/>
              <w:numPr>
                <w:ilvl w:val="0"/>
                <w:numId w:val="0"/>
              </w:numPr>
              <w:adjustRightInd/>
              <w:snapToGrid/>
              <w:ind w:firstLine="480" w:firstLineChars="200"/>
              <w:contextualSpacing/>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本项目在对设备进行维修保养时，会有含油抹布及手套产生，产生量约为0.01t/a，根据《国家危险废物名录（2025年版）》，此种废物属于危险废物（HW49，900-041-49），在危废暂存库暂存后定期委托有资质单位处置。</w:t>
            </w:r>
          </w:p>
          <w:p w14:paraId="61EBAC30">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表4-1</w:t>
            </w:r>
            <w:r>
              <w:rPr>
                <w:rFonts w:hint="default" w:ascii="Times New Roman" w:hAnsi="Times New Roman" w:cs="Times New Roman"/>
                <w:b/>
                <w:bCs/>
                <w:color w:val="auto"/>
                <w:kern w:val="0"/>
                <w:sz w:val="21"/>
                <w:szCs w:val="21"/>
                <w:highlight w:val="none"/>
                <w:lang w:val="en-US" w:eastAsia="zh-CN" w:bidi="ar"/>
              </w:rPr>
              <w:t>6</w:t>
            </w:r>
            <w:r>
              <w:rPr>
                <w:rFonts w:hint="default" w:ascii="Times New Roman" w:hAnsi="Times New Roman" w:eastAsia="宋体" w:cs="Times New Roman"/>
                <w:b/>
                <w:bCs/>
                <w:color w:val="auto"/>
                <w:kern w:val="0"/>
                <w:sz w:val="21"/>
                <w:szCs w:val="21"/>
                <w:highlight w:val="none"/>
                <w:lang w:val="en-US" w:eastAsia="zh-CN" w:bidi="ar"/>
              </w:rPr>
              <w:t xml:space="preserve">  本项目危险废物产生情况</w:t>
            </w:r>
            <w:r>
              <w:rPr>
                <w:rFonts w:hint="default" w:ascii="Times New Roman" w:hAnsi="Times New Roman" w:eastAsia="宋体" w:cs="Times New Roman"/>
                <w:b/>
                <w:bCs/>
                <w:color w:val="auto"/>
                <w:kern w:val="0"/>
                <w:sz w:val="21"/>
                <w:szCs w:val="21"/>
                <w:highlight w:val="none"/>
                <w:lang w:val="zh-CN" w:eastAsia="zh-CN" w:bidi="ar"/>
              </w:rPr>
              <w:t>一览表</w:t>
            </w:r>
          </w:p>
          <w:tbl>
            <w:tblPr>
              <w:tblStyle w:val="2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72"/>
              <w:gridCol w:w="724"/>
              <w:gridCol w:w="924"/>
              <w:gridCol w:w="696"/>
              <w:gridCol w:w="1103"/>
              <w:gridCol w:w="1106"/>
              <w:gridCol w:w="562"/>
              <w:gridCol w:w="744"/>
              <w:gridCol w:w="828"/>
              <w:gridCol w:w="736"/>
            </w:tblGrid>
            <w:tr w14:paraId="17E2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8" w:type="pct"/>
                  <w:vAlign w:val="center"/>
                </w:tcPr>
                <w:p w14:paraId="57C7EEC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23" w:name="_Toc4389"/>
                  <w:bookmarkStart w:id="24" w:name="_Toc31794"/>
                  <w:r>
                    <w:rPr>
                      <w:rFonts w:hint="default" w:ascii="Times New Roman" w:hAnsi="Times New Roman" w:cs="Times New Roman"/>
                      <w:b/>
                      <w:bCs/>
                      <w:color w:val="auto"/>
                      <w:kern w:val="0"/>
                      <w:sz w:val="21"/>
                      <w:szCs w:val="21"/>
                      <w:highlight w:val="none"/>
                    </w:rPr>
                    <w:t>序号</w:t>
                  </w:r>
                  <w:bookmarkEnd w:id="23"/>
                  <w:bookmarkEnd w:id="24"/>
                </w:p>
              </w:tc>
              <w:tc>
                <w:tcPr>
                  <w:tcW w:w="464" w:type="pct"/>
                  <w:vAlign w:val="center"/>
                </w:tcPr>
                <w:p w14:paraId="337EFD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25" w:name="_Toc22111"/>
                  <w:bookmarkStart w:id="26" w:name="_Toc12218"/>
                  <w:r>
                    <w:rPr>
                      <w:rFonts w:hint="default" w:ascii="Times New Roman" w:hAnsi="Times New Roman" w:cs="Times New Roman"/>
                      <w:b/>
                      <w:bCs/>
                      <w:color w:val="auto"/>
                      <w:kern w:val="0"/>
                      <w:sz w:val="21"/>
                      <w:szCs w:val="21"/>
                      <w:highlight w:val="none"/>
                    </w:rPr>
                    <w:t>产生</w:t>
                  </w:r>
                  <w:bookmarkEnd w:id="25"/>
                  <w:bookmarkStart w:id="27" w:name="_Toc30856"/>
                  <w:r>
                    <w:rPr>
                      <w:rFonts w:hint="default" w:ascii="Times New Roman" w:hAnsi="Times New Roman" w:cs="Times New Roman"/>
                      <w:b/>
                      <w:bCs/>
                      <w:color w:val="auto"/>
                      <w:kern w:val="0"/>
                      <w:sz w:val="21"/>
                      <w:szCs w:val="21"/>
                      <w:highlight w:val="none"/>
                    </w:rPr>
                    <w:t>环节</w:t>
                  </w:r>
                  <w:bookmarkEnd w:id="26"/>
                  <w:bookmarkEnd w:id="27"/>
                </w:p>
              </w:tc>
              <w:tc>
                <w:tcPr>
                  <w:tcW w:w="592" w:type="pct"/>
                  <w:vAlign w:val="center"/>
                </w:tcPr>
                <w:p w14:paraId="47F6AB3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28" w:name="_Toc29744"/>
                  <w:bookmarkStart w:id="29" w:name="_Toc26972"/>
                  <w:r>
                    <w:rPr>
                      <w:rFonts w:hint="default" w:ascii="Times New Roman" w:hAnsi="Times New Roman" w:cs="Times New Roman"/>
                      <w:b/>
                      <w:bCs/>
                      <w:color w:val="auto"/>
                      <w:kern w:val="0"/>
                      <w:sz w:val="21"/>
                      <w:szCs w:val="21"/>
                      <w:highlight w:val="none"/>
                    </w:rPr>
                    <w:t>危险废物名称</w:t>
                  </w:r>
                  <w:bookmarkEnd w:id="28"/>
                  <w:bookmarkEnd w:id="29"/>
                </w:p>
              </w:tc>
              <w:tc>
                <w:tcPr>
                  <w:tcW w:w="446" w:type="pct"/>
                  <w:vAlign w:val="center"/>
                </w:tcPr>
                <w:p w14:paraId="4536BF9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30" w:name="_Toc15936"/>
                  <w:bookmarkStart w:id="31" w:name="_Toc23170"/>
                  <w:r>
                    <w:rPr>
                      <w:rFonts w:hint="default" w:ascii="Times New Roman" w:hAnsi="Times New Roman" w:cs="Times New Roman"/>
                      <w:b/>
                      <w:bCs/>
                      <w:color w:val="auto"/>
                      <w:kern w:val="0"/>
                      <w:sz w:val="21"/>
                      <w:szCs w:val="21"/>
                      <w:highlight w:val="none"/>
                    </w:rPr>
                    <w:t>危险废物类别</w:t>
                  </w:r>
                  <w:bookmarkEnd w:id="30"/>
                  <w:bookmarkEnd w:id="31"/>
                </w:p>
              </w:tc>
              <w:tc>
                <w:tcPr>
                  <w:tcW w:w="707" w:type="pct"/>
                  <w:vAlign w:val="center"/>
                </w:tcPr>
                <w:p w14:paraId="125C6D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32" w:name="_Toc16035"/>
                  <w:bookmarkStart w:id="33" w:name="_Toc21087"/>
                  <w:r>
                    <w:rPr>
                      <w:rFonts w:hint="default" w:ascii="Times New Roman" w:hAnsi="Times New Roman" w:cs="Times New Roman"/>
                      <w:b/>
                      <w:bCs/>
                      <w:color w:val="auto"/>
                      <w:kern w:val="0"/>
                      <w:sz w:val="21"/>
                      <w:szCs w:val="21"/>
                      <w:highlight w:val="none"/>
                    </w:rPr>
                    <w:t>危险废物代码</w:t>
                  </w:r>
                  <w:bookmarkEnd w:id="32"/>
                  <w:bookmarkEnd w:id="33"/>
                </w:p>
              </w:tc>
              <w:tc>
                <w:tcPr>
                  <w:tcW w:w="709" w:type="pct"/>
                  <w:vAlign w:val="center"/>
                </w:tcPr>
                <w:p w14:paraId="45BB3C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34" w:name="_Toc8371"/>
                  <w:bookmarkStart w:id="35" w:name="_Toc22664"/>
                  <w:r>
                    <w:rPr>
                      <w:rFonts w:hint="default" w:ascii="Times New Roman" w:hAnsi="Times New Roman" w:cs="Times New Roman"/>
                      <w:b/>
                      <w:bCs/>
                      <w:color w:val="auto"/>
                      <w:kern w:val="0"/>
                      <w:sz w:val="21"/>
                      <w:szCs w:val="21"/>
                      <w:highlight w:val="none"/>
                    </w:rPr>
                    <w:t>主要有毒有害成分</w:t>
                  </w:r>
                  <w:bookmarkEnd w:id="34"/>
                  <w:bookmarkEnd w:id="35"/>
                </w:p>
              </w:tc>
              <w:tc>
                <w:tcPr>
                  <w:tcW w:w="360" w:type="pct"/>
                  <w:vAlign w:val="center"/>
                </w:tcPr>
                <w:p w14:paraId="35A32AC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36" w:name="_Toc5134"/>
                  <w:bookmarkStart w:id="37" w:name="_Toc19904"/>
                  <w:r>
                    <w:rPr>
                      <w:rFonts w:hint="default" w:ascii="Times New Roman" w:hAnsi="Times New Roman" w:cs="Times New Roman"/>
                      <w:b/>
                      <w:bCs/>
                      <w:color w:val="auto"/>
                      <w:kern w:val="0"/>
                      <w:sz w:val="21"/>
                      <w:szCs w:val="21"/>
                      <w:highlight w:val="none"/>
                    </w:rPr>
                    <w:t>物理</w:t>
                  </w:r>
                  <w:bookmarkEnd w:id="36"/>
                  <w:bookmarkStart w:id="38" w:name="_Toc25547"/>
                  <w:r>
                    <w:rPr>
                      <w:rFonts w:hint="default" w:ascii="Times New Roman" w:hAnsi="Times New Roman" w:cs="Times New Roman"/>
                      <w:b/>
                      <w:bCs/>
                      <w:color w:val="auto"/>
                      <w:kern w:val="0"/>
                      <w:sz w:val="21"/>
                      <w:szCs w:val="21"/>
                      <w:highlight w:val="none"/>
                    </w:rPr>
                    <w:t>性状</w:t>
                  </w:r>
                  <w:bookmarkEnd w:id="37"/>
                  <w:bookmarkEnd w:id="38"/>
                </w:p>
              </w:tc>
              <w:tc>
                <w:tcPr>
                  <w:tcW w:w="477" w:type="pct"/>
                  <w:vAlign w:val="center"/>
                </w:tcPr>
                <w:p w14:paraId="47FA86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39" w:name="_Toc9265"/>
                  <w:bookmarkStart w:id="40" w:name="_Toc21462"/>
                  <w:r>
                    <w:rPr>
                      <w:rFonts w:hint="default" w:ascii="Times New Roman" w:hAnsi="Times New Roman" w:cs="Times New Roman"/>
                      <w:b/>
                      <w:bCs/>
                      <w:color w:val="auto"/>
                      <w:kern w:val="0"/>
                      <w:sz w:val="21"/>
                      <w:szCs w:val="21"/>
                      <w:highlight w:val="none"/>
                    </w:rPr>
                    <w:t>环境危险特性</w:t>
                  </w:r>
                  <w:bookmarkEnd w:id="39"/>
                  <w:bookmarkEnd w:id="40"/>
                </w:p>
              </w:tc>
              <w:tc>
                <w:tcPr>
                  <w:tcW w:w="531" w:type="pct"/>
                  <w:vAlign w:val="center"/>
                </w:tcPr>
                <w:p w14:paraId="32C967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rPr>
                  </w:pPr>
                  <w:bookmarkStart w:id="41" w:name="_Toc4065"/>
                  <w:bookmarkStart w:id="42" w:name="_Toc22268"/>
                  <w:r>
                    <w:rPr>
                      <w:rFonts w:hint="default" w:ascii="Times New Roman" w:hAnsi="Times New Roman" w:cs="Times New Roman"/>
                      <w:b/>
                      <w:bCs/>
                      <w:color w:val="auto"/>
                      <w:kern w:val="0"/>
                      <w:sz w:val="21"/>
                      <w:szCs w:val="21"/>
                      <w:highlight w:val="none"/>
                    </w:rPr>
                    <w:t>年产</w:t>
                  </w:r>
                  <w:bookmarkEnd w:id="41"/>
                  <w:bookmarkStart w:id="43" w:name="_Toc31087"/>
                  <w:r>
                    <w:rPr>
                      <w:rFonts w:hint="default" w:ascii="Times New Roman" w:hAnsi="Times New Roman" w:cs="Times New Roman"/>
                      <w:b/>
                      <w:bCs/>
                      <w:color w:val="auto"/>
                      <w:kern w:val="0"/>
                      <w:sz w:val="21"/>
                      <w:szCs w:val="21"/>
                      <w:highlight w:val="none"/>
                    </w:rPr>
                    <w:t>生量（t）</w:t>
                  </w:r>
                  <w:bookmarkEnd w:id="42"/>
                  <w:bookmarkEnd w:id="43"/>
                </w:p>
              </w:tc>
              <w:tc>
                <w:tcPr>
                  <w:tcW w:w="472" w:type="pct"/>
                  <w:vAlign w:val="center"/>
                </w:tcPr>
                <w:p w14:paraId="3BCC595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b/>
                      <w:bCs/>
                      <w:color w:val="auto"/>
                      <w:kern w:val="0"/>
                      <w:sz w:val="21"/>
                      <w:szCs w:val="21"/>
                      <w:highlight w:val="none"/>
                      <w:lang w:eastAsia="zh-CN"/>
                    </w:rPr>
                  </w:pPr>
                  <w:bookmarkStart w:id="44" w:name="_Toc21235"/>
                  <w:r>
                    <w:rPr>
                      <w:rFonts w:hint="default" w:ascii="Times New Roman" w:hAnsi="Times New Roman" w:cs="Times New Roman"/>
                      <w:b/>
                      <w:bCs/>
                      <w:color w:val="auto"/>
                      <w:kern w:val="0"/>
                      <w:sz w:val="21"/>
                      <w:szCs w:val="21"/>
                      <w:highlight w:val="none"/>
                      <w:lang w:eastAsia="zh-CN"/>
                    </w:rPr>
                    <w:t>污染防治措施</w:t>
                  </w:r>
                  <w:bookmarkEnd w:id="44"/>
                </w:p>
              </w:tc>
            </w:tr>
            <w:tr w14:paraId="54D7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8" w:type="pct"/>
                  <w:vAlign w:val="center"/>
                </w:tcPr>
                <w:p w14:paraId="1858098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45" w:name="_Toc15866"/>
                  <w:bookmarkStart w:id="46" w:name="_Toc25524"/>
                  <w:r>
                    <w:rPr>
                      <w:rFonts w:hint="default" w:ascii="Times New Roman" w:hAnsi="Times New Roman" w:cs="Times New Roman"/>
                      <w:color w:val="auto"/>
                      <w:kern w:val="0"/>
                      <w:sz w:val="21"/>
                      <w:szCs w:val="21"/>
                      <w:highlight w:val="none"/>
                      <w:lang w:val="en-US" w:eastAsia="zh-CN"/>
                    </w:rPr>
                    <w:t>1</w:t>
                  </w:r>
                  <w:bookmarkEnd w:id="45"/>
                  <w:bookmarkEnd w:id="46"/>
                </w:p>
              </w:tc>
              <w:tc>
                <w:tcPr>
                  <w:tcW w:w="464" w:type="pct"/>
                  <w:vMerge w:val="restart"/>
                  <w:vAlign w:val="center"/>
                </w:tcPr>
                <w:p w14:paraId="1160B9E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47" w:name="_Toc16688"/>
                  <w:bookmarkStart w:id="48" w:name="_Toc19533"/>
                  <w:r>
                    <w:rPr>
                      <w:rFonts w:hint="default" w:ascii="Times New Roman" w:hAnsi="Times New Roman" w:cs="Times New Roman"/>
                      <w:color w:val="auto"/>
                      <w:kern w:val="0"/>
                      <w:sz w:val="21"/>
                      <w:szCs w:val="21"/>
                      <w:highlight w:val="none"/>
                      <w:lang w:val="en-US" w:eastAsia="zh-CN"/>
                    </w:rPr>
                    <w:t>废气处理装置</w:t>
                  </w:r>
                  <w:bookmarkEnd w:id="47"/>
                  <w:bookmarkEnd w:id="48"/>
                </w:p>
              </w:tc>
              <w:tc>
                <w:tcPr>
                  <w:tcW w:w="592" w:type="pct"/>
                  <w:vAlign w:val="center"/>
                </w:tcPr>
                <w:p w14:paraId="54A97C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49" w:name="_Toc11917"/>
                  <w:bookmarkStart w:id="50" w:name="_Toc32019"/>
                  <w:r>
                    <w:rPr>
                      <w:rFonts w:hint="default" w:ascii="Times New Roman" w:hAnsi="Times New Roman" w:cs="Times New Roman"/>
                      <w:color w:val="auto"/>
                      <w:kern w:val="0"/>
                      <w:sz w:val="21"/>
                      <w:szCs w:val="21"/>
                      <w:highlight w:val="none"/>
                      <w:lang w:val="en-US" w:eastAsia="zh-CN"/>
                    </w:rPr>
                    <w:t>废活性炭</w:t>
                  </w:r>
                  <w:bookmarkEnd w:id="49"/>
                  <w:bookmarkEnd w:id="50"/>
                </w:p>
              </w:tc>
              <w:tc>
                <w:tcPr>
                  <w:tcW w:w="446" w:type="pct"/>
                  <w:vAlign w:val="center"/>
                </w:tcPr>
                <w:p w14:paraId="45C4ED4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51" w:name="_Toc11735"/>
                  <w:bookmarkStart w:id="52" w:name="_Toc7318"/>
                  <w:r>
                    <w:rPr>
                      <w:rFonts w:hint="default" w:ascii="Times New Roman" w:hAnsi="Times New Roman" w:cs="Times New Roman"/>
                      <w:color w:val="auto"/>
                      <w:kern w:val="0"/>
                      <w:sz w:val="21"/>
                      <w:szCs w:val="21"/>
                      <w:highlight w:val="none"/>
                      <w:lang w:val="en-US" w:eastAsia="zh-CN"/>
                    </w:rPr>
                    <w:t>HW49</w:t>
                  </w:r>
                  <w:bookmarkEnd w:id="51"/>
                  <w:bookmarkEnd w:id="52"/>
                </w:p>
              </w:tc>
              <w:tc>
                <w:tcPr>
                  <w:tcW w:w="707" w:type="pct"/>
                  <w:vAlign w:val="center"/>
                </w:tcPr>
                <w:p w14:paraId="7F315A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53" w:name="_Toc5109"/>
                  <w:bookmarkStart w:id="54" w:name="_Toc5325"/>
                  <w:r>
                    <w:rPr>
                      <w:rFonts w:hint="default" w:ascii="Times New Roman" w:hAnsi="Times New Roman" w:cs="Times New Roman"/>
                      <w:color w:val="auto"/>
                      <w:kern w:val="0"/>
                      <w:sz w:val="21"/>
                      <w:szCs w:val="21"/>
                      <w:highlight w:val="none"/>
                      <w:lang w:val="en-US" w:eastAsia="zh-CN"/>
                    </w:rPr>
                    <w:t>900-039-49</w:t>
                  </w:r>
                  <w:bookmarkEnd w:id="53"/>
                  <w:bookmarkEnd w:id="54"/>
                </w:p>
              </w:tc>
              <w:tc>
                <w:tcPr>
                  <w:tcW w:w="709" w:type="pct"/>
                  <w:vAlign w:val="center"/>
                </w:tcPr>
                <w:p w14:paraId="6A89FD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55" w:name="_Toc27803"/>
                  <w:bookmarkStart w:id="56" w:name="_Toc32206"/>
                  <w:r>
                    <w:rPr>
                      <w:rFonts w:hint="default" w:ascii="Times New Roman" w:hAnsi="Times New Roman" w:cs="Times New Roman"/>
                      <w:color w:val="auto"/>
                      <w:kern w:val="0"/>
                      <w:sz w:val="21"/>
                      <w:szCs w:val="21"/>
                      <w:highlight w:val="none"/>
                      <w:lang w:val="en-US" w:eastAsia="zh-CN"/>
                    </w:rPr>
                    <w:t>有机废气</w:t>
                  </w:r>
                  <w:bookmarkEnd w:id="55"/>
                  <w:bookmarkEnd w:id="56"/>
                </w:p>
              </w:tc>
              <w:tc>
                <w:tcPr>
                  <w:tcW w:w="360" w:type="pct"/>
                  <w:vAlign w:val="center"/>
                </w:tcPr>
                <w:p w14:paraId="57035D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57" w:name="_Toc6995"/>
                  <w:bookmarkStart w:id="58" w:name="_Toc19855"/>
                  <w:r>
                    <w:rPr>
                      <w:rFonts w:hint="default" w:ascii="Times New Roman" w:hAnsi="Times New Roman" w:cs="Times New Roman"/>
                      <w:color w:val="auto"/>
                      <w:kern w:val="0"/>
                      <w:sz w:val="21"/>
                      <w:szCs w:val="21"/>
                      <w:highlight w:val="none"/>
                      <w:lang w:val="en-US" w:eastAsia="zh-CN"/>
                    </w:rPr>
                    <w:t>固态</w:t>
                  </w:r>
                  <w:bookmarkEnd w:id="57"/>
                  <w:bookmarkEnd w:id="58"/>
                </w:p>
              </w:tc>
              <w:tc>
                <w:tcPr>
                  <w:tcW w:w="477" w:type="pct"/>
                  <w:vAlign w:val="center"/>
                </w:tcPr>
                <w:p w14:paraId="4AA88E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59" w:name="_Toc4298"/>
                  <w:bookmarkStart w:id="60" w:name="_Toc1610"/>
                  <w:r>
                    <w:rPr>
                      <w:rFonts w:hint="default" w:ascii="Times New Roman" w:hAnsi="Times New Roman" w:cs="Times New Roman"/>
                      <w:color w:val="auto"/>
                      <w:kern w:val="0"/>
                      <w:sz w:val="21"/>
                      <w:szCs w:val="21"/>
                      <w:highlight w:val="none"/>
                      <w:lang w:val="en-US" w:eastAsia="zh-CN"/>
                    </w:rPr>
                    <w:t>T</w:t>
                  </w:r>
                  <w:bookmarkEnd w:id="59"/>
                  <w:bookmarkEnd w:id="60"/>
                </w:p>
              </w:tc>
              <w:tc>
                <w:tcPr>
                  <w:tcW w:w="531" w:type="pct"/>
                  <w:vAlign w:val="center"/>
                </w:tcPr>
                <w:p w14:paraId="35707F2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13</w:t>
                  </w:r>
                </w:p>
              </w:tc>
              <w:tc>
                <w:tcPr>
                  <w:tcW w:w="472" w:type="pct"/>
                  <w:vMerge w:val="restart"/>
                  <w:vAlign w:val="center"/>
                </w:tcPr>
                <w:p w14:paraId="17900DC3">
                  <w:pPr>
                    <w:adjustRightInd w:val="0"/>
                    <w:snapToGrid w:val="0"/>
                    <w:spacing w:line="240" w:lineRule="auto"/>
                    <w:ind w:firstLine="0" w:firstLineChars="0"/>
                    <w:jc w:val="center"/>
                    <w:outlineLvl w:val="0"/>
                    <w:rPr>
                      <w:rFonts w:hint="default" w:ascii="Times New Roman" w:hAnsi="Times New Roman" w:eastAsia="宋体" w:cs="Times New Roman"/>
                      <w:snapToGrid w:val="0"/>
                      <w:color w:val="auto"/>
                      <w:kern w:val="2"/>
                      <w:sz w:val="21"/>
                      <w:szCs w:val="21"/>
                      <w:highlight w:val="none"/>
                      <w:lang w:val="en-US" w:eastAsia="zh-CN" w:bidi="ar-SA"/>
                    </w:rPr>
                  </w:pPr>
                  <w:bookmarkStart w:id="61" w:name="_Toc26898"/>
                  <w:r>
                    <w:rPr>
                      <w:rFonts w:hint="default" w:ascii="Times New Roman" w:hAnsi="Times New Roman" w:cs="Times New Roman"/>
                      <w:snapToGrid w:val="0"/>
                      <w:color w:val="auto"/>
                      <w:kern w:val="2"/>
                      <w:sz w:val="21"/>
                      <w:szCs w:val="21"/>
                      <w:highlight w:val="none"/>
                      <w:lang w:val="en-US" w:eastAsia="zh-CN" w:bidi="ar-SA"/>
                    </w:rPr>
                    <w:t>暂存于危废库，</w:t>
                  </w:r>
                  <w:r>
                    <w:rPr>
                      <w:rFonts w:hint="default" w:ascii="Times New Roman" w:hAnsi="Times New Roman" w:eastAsia="宋体" w:cs="Times New Roman"/>
                      <w:snapToGrid w:val="0"/>
                      <w:color w:val="auto"/>
                      <w:kern w:val="2"/>
                      <w:sz w:val="21"/>
                      <w:szCs w:val="21"/>
                      <w:highlight w:val="none"/>
                      <w:lang w:val="en-US" w:eastAsia="zh-CN" w:bidi="ar-SA"/>
                    </w:rPr>
                    <w:t>定期交由有资质单位处置</w:t>
                  </w:r>
                  <w:bookmarkEnd w:id="61"/>
                </w:p>
              </w:tc>
            </w:tr>
            <w:tr w14:paraId="7B9E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8" w:type="pct"/>
                  <w:shd w:val="clear" w:color="auto" w:fill="auto"/>
                  <w:vAlign w:val="center"/>
                </w:tcPr>
                <w:p w14:paraId="27E41C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2</w:t>
                  </w:r>
                </w:p>
              </w:tc>
              <w:tc>
                <w:tcPr>
                  <w:tcW w:w="464" w:type="pct"/>
                  <w:vMerge w:val="continue"/>
                  <w:vAlign w:val="center"/>
                </w:tcPr>
                <w:p w14:paraId="603C5C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p>
              </w:tc>
              <w:tc>
                <w:tcPr>
                  <w:tcW w:w="592" w:type="pct"/>
                  <w:shd w:val="clear" w:color="auto" w:fill="auto"/>
                  <w:vAlign w:val="center"/>
                </w:tcPr>
                <w:p w14:paraId="4BC06C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废过滤棉</w:t>
                  </w:r>
                </w:p>
              </w:tc>
              <w:tc>
                <w:tcPr>
                  <w:tcW w:w="446" w:type="pct"/>
                  <w:shd w:val="clear" w:color="auto" w:fill="auto"/>
                  <w:vAlign w:val="center"/>
                </w:tcPr>
                <w:p w14:paraId="0A4729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HW49</w:t>
                  </w:r>
                </w:p>
              </w:tc>
              <w:tc>
                <w:tcPr>
                  <w:tcW w:w="707" w:type="pct"/>
                  <w:shd w:val="clear" w:color="auto" w:fill="auto"/>
                  <w:vAlign w:val="center"/>
                </w:tcPr>
                <w:p w14:paraId="795FC4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900-041-49</w:t>
                  </w:r>
                </w:p>
              </w:tc>
              <w:tc>
                <w:tcPr>
                  <w:tcW w:w="709" w:type="pct"/>
                  <w:shd w:val="clear" w:color="auto" w:fill="auto"/>
                  <w:vAlign w:val="center"/>
                </w:tcPr>
                <w:p w14:paraId="557B9E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过滤棉吸附</w:t>
                  </w:r>
                </w:p>
              </w:tc>
              <w:tc>
                <w:tcPr>
                  <w:tcW w:w="360" w:type="pct"/>
                  <w:shd w:val="clear" w:color="auto" w:fill="auto"/>
                  <w:vAlign w:val="center"/>
                </w:tcPr>
                <w:p w14:paraId="05E454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固态</w:t>
                  </w:r>
                </w:p>
              </w:tc>
              <w:tc>
                <w:tcPr>
                  <w:tcW w:w="477" w:type="pct"/>
                  <w:shd w:val="clear" w:color="auto" w:fill="auto"/>
                  <w:vAlign w:val="center"/>
                </w:tcPr>
                <w:p w14:paraId="69A45C4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b w:val="0"/>
                      <w:color w:val="auto"/>
                      <w:sz w:val="21"/>
                      <w:szCs w:val="21"/>
                      <w:lang w:val="en-US" w:bidi="ar-SA"/>
                    </w:rPr>
                    <w:t>T/I</w:t>
                  </w:r>
                  <w:r>
                    <w:rPr>
                      <w:rFonts w:hint="default" w:ascii="Times New Roman" w:hAnsi="Times New Roman" w:cs="Times New Roman"/>
                      <w:b w:val="0"/>
                      <w:color w:val="auto"/>
                      <w:sz w:val="21"/>
                      <w:szCs w:val="21"/>
                      <w:lang w:val="en-US" w:eastAsia="zh-CN" w:bidi="ar-SA"/>
                    </w:rPr>
                    <w:t>n</w:t>
                  </w:r>
                </w:p>
              </w:tc>
              <w:tc>
                <w:tcPr>
                  <w:tcW w:w="531" w:type="pct"/>
                  <w:vAlign w:val="center"/>
                </w:tcPr>
                <w:p w14:paraId="791513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0.5</w:t>
                  </w:r>
                </w:p>
              </w:tc>
              <w:tc>
                <w:tcPr>
                  <w:tcW w:w="472" w:type="pct"/>
                  <w:vMerge w:val="continue"/>
                  <w:vAlign w:val="center"/>
                </w:tcPr>
                <w:p w14:paraId="0A7B5E12">
                  <w:pPr>
                    <w:adjustRightInd w:val="0"/>
                    <w:snapToGrid w:val="0"/>
                    <w:spacing w:line="240" w:lineRule="auto"/>
                    <w:ind w:firstLine="0" w:firstLineChars="0"/>
                    <w:jc w:val="center"/>
                    <w:outlineLvl w:val="0"/>
                    <w:rPr>
                      <w:rFonts w:hint="default" w:ascii="Times New Roman" w:hAnsi="Times New Roman" w:cs="Times New Roman"/>
                      <w:snapToGrid w:val="0"/>
                      <w:color w:val="auto"/>
                      <w:kern w:val="2"/>
                      <w:sz w:val="21"/>
                      <w:szCs w:val="21"/>
                      <w:highlight w:val="none"/>
                      <w:lang w:val="en-US" w:eastAsia="zh-CN" w:bidi="ar-SA"/>
                    </w:rPr>
                  </w:pPr>
                </w:p>
              </w:tc>
            </w:tr>
            <w:tr w14:paraId="5456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8" w:type="pct"/>
                  <w:shd w:val="clear" w:color="auto" w:fill="auto"/>
                  <w:vAlign w:val="center"/>
                </w:tcPr>
                <w:p w14:paraId="2B84395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3</w:t>
                  </w:r>
                </w:p>
              </w:tc>
              <w:tc>
                <w:tcPr>
                  <w:tcW w:w="464" w:type="pct"/>
                  <w:vMerge w:val="restart"/>
                  <w:shd w:val="clear" w:color="auto" w:fill="auto"/>
                  <w:vAlign w:val="center"/>
                </w:tcPr>
                <w:p w14:paraId="732E7B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设备保养</w:t>
                  </w:r>
                </w:p>
              </w:tc>
              <w:tc>
                <w:tcPr>
                  <w:tcW w:w="592" w:type="pct"/>
                  <w:shd w:val="clear" w:color="auto" w:fill="auto"/>
                  <w:vAlign w:val="center"/>
                </w:tcPr>
                <w:p w14:paraId="1281440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废润滑油</w:t>
                  </w:r>
                </w:p>
              </w:tc>
              <w:tc>
                <w:tcPr>
                  <w:tcW w:w="446" w:type="pct"/>
                  <w:shd w:val="clear" w:color="auto" w:fill="auto"/>
                  <w:vAlign w:val="center"/>
                </w:tcPr>
                <w:p w14:paraId="072BEA5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HW08</w:t>
                  </w:r>
                </w:p>
              </w:tc>
              <w:tc>
                <w:tcPr>
                  <w:tcW w:w="707" w:type="pct"/>
                  <w:shd w:val="clear" w:color="auto" w:fill="auto"/>
                  <w:vAlign w:val="center"/>
                </w:tcPr>
                <w:p w14:paraId="2DE1ECE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900-249-08</w:t>
                  </w:r>
                </w:p>
              </w:tc>
              <w:tc>
                <w:tcPr>
                  <w:tcW w:w="709" w:type="pct"/>
                  <w:shd w:val="clear" w:color="auto" w:fill="auto"/>
                  <w:vAlign w:val="center"/>
                </w:tcPr>
                <w:p w14:paraId="1D239B0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润滑油</w:t>
                  </w:r>
                </w:p>
              </w:tc>
              <w:tc>
                <w:tcPr>
                  <w:tcW w:w="360" w:type="pct"/>
                  <w:shd w:val="clear" w:color="auto" w:fill="auto"/>
                  <w:vAlign w:val="center"/>
                </w:tcPr>
                <w:p w14:paraId="00403E2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液态</w:t>
                  </w:r>
                </w:p>
              </w:tc>
              <w:tc>
                <w:tcPr>
                  <w:tcW w:w="477" w:type="pct"/>
                  <w:shd w:val="clear" w:color="auto" w:fill="auto"/>
                  <w:vAlign w:val="center"/>
                </w:tcPr>
                <w:p w14:paraId="0CCD2A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62" w:name="_Toc31696"/>
                  <w:bookmarkStart w:id="63" w:name="_Toc23280"/>
                  <w:r>
                    <w:rPr>
                      <w:rFonts w:hint="default" w:ascii="Times New Roman" w:hAnsi="Times New Roman" w:cs="Times New Roman"/>
                      <w:color w:val="auto"/>
                      <w:kern w:val="0"/>
                      <w:sz w:val="21"/>
                      <w:szCs w:val="21"/>
                      <w:highlight w:val="none"/>
                      <w:lang w:val="en-US" w:eastAsia="zh-CN"/>
                    </w:rPr>
                    <w:t>T,I</w:t>
                  </w:r>
                  <w:bookmarkEnd w:id="62"/>
                  <w:bookmarkEnd w:id="63"/>
                </w:p>
              </w:tc>
              <w:tc>
                <w:tcPr>
                  <w:tcW w:w="531" w:type="pct"/>
                  <w:shd w:val="clear" w:color="auto" w:fill="auto"/>
                  <w:vAlign w:val="center"/>
                </w:tcPr>
                <w:p w14:paraId="4000D1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64" w:name="_Toc24450"/>
                  <w:bookmarkStart w:id="65" w:name="_Toc12056"/>
                  <w:r>
                    <w:rPr>
                      <w:rFonts w:hint="default" w:ascii="Times New Roman" w:hAnsi="Times New Roman" w:cs="Times New Roman"/>
                      <w:color w:val="auto"/>
                      <w:kern w:val="0"/>
                      <w:sz w:val="21"/>
                      <w:szCs w:val="21"/>
                      <w:highlight w:val="none"/>
                      <w:lang w:val="en-US" w:eastAsia="zh-CN"/>
                    </w:rPr>
                    <w:t>0.</w:t>
                  </w:r>
                  <w:bookmarkEnd w:id="64"/>
                  <w:r>
                    <w:rPr>
                      <w:rFonts w:hint="default" w:ascii="Times New Roman" w:hAnsi="Times New Roman" w:cs="Times New Roman"/>
                      <w:color w:val="auto"/>
                      <w:kern w:val="0"/>
                      <w:sz w:val="21"/>
                      <w:szCs w:val="21"/>
                      <w:highlight w:val="none"/>
                      <w:lang w:val="en-US" w:eastAsia="zh-CN"/>
                    </w:rPr>
                    <w:t>01</w:t>
                  </w:r>
                  <w:bookmarkEnd w:id="65"/>
                </w:p>
              </w:tc>
              <w:tc>
                <w:tcPr>
                  <w:tcW w:w="472" w:type="pct"/>
                  <w:vMerge w:val="continue"/>
                  <w:vAlign w:val="center"/>
                </w:tcPr>
                <w:p w14:paraId="39DF7B3F">
                  <w:pPr>
                    <w:adjustRightInd w:val="0"/>
                    <w:snapToGrid w:val="0"/>
                    <w:spacing w:line="240" w:lineRule="auto"/>
                    <w:ind w:firstLine="0" w:firstLineChars="0"/>
                    <w:jc w:val="center"/>
                    <w:outlineLvl w:val="0"/>
                    <w:rPr>
                      <w:rFonts w:hint="default" w:ascii="Times New Roman" w:hAnsi="Times New Roman" w:eastAsia="宋体" w:cs="Times New Roman"/>
                      <w:snapToGrid w:val="0"/>
                      <w:color w:val="auto"/>
                      <w:sz w:val="21"/>
                      <w:szCs w:val="21"/>
                      <w:highlight w:val="none"/>
                    </w:rPr>
                  </w:pPr>
                </w:p>
              </w:tc>
            </w:tr>
            <w:tr w14:paraId="5AAC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7" w:hRule="atLeast"/>
                <w:jc w:val="center"/>
              </w:trPr>
              <w:tc>
                <w:tcPr>
                  <w:tcW w:w="238" w:type="pct"/>
                  <w:shd w:val="clear" w:color="auto" w:fill="auto"/>
                  <w:vAlign w:val="center"/>
                </w:tcPr>
                <w:p w14:paraId="5D4B6FB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4</w:t>
                  </w:r>
                </w:p>
              </w:tc>
              <w:tc>
                <w:tcPr>
                  <w:tcW w:w="464" w:type="pct"/>
                  <w:vMerge w:val="continue"/>
                  <w:shd w:val="clear" w:color="auto" w:fill="auto"/>
                  <w:vAlign w:val="center"/>
                </w:tcPr>
                <w:p w14:paraId="04D06E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p>
              </w:tc>
              <w:tc>
                <w:tcPr>
                  <w:tcW w:w="592" w:type="pct"/>
                  <w:shd w:val="clear" w:color="auto" w:fill="auto"/>
                  <w:vAlign w:val="center"/>
                </w:tcPr>
                <w:p w14:paraId="4D9FE55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废油桶</w:t>
                  </w:r>
                </w:p>
              </w:tc>
              <w:tc>
                <w:tcPr>
                  <w:tcW w:w="446" w:type="pct"/>
                  <w:shd w:val="clear" w:color="auto" w:fill="auto"/>
                  <w:vAlign w:val="center"/>
                </w:tcPr>
                <w:p w14:paraId="3ED056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HW08</w:t>
                  </w:r>
                </w:p>
              </w:tc>
              <w:tc>
                <w:tcPr>
                  <w:tcW w:w="707" w:type="pct"/>
                  <w:shd w:val="clear" w:color="auto" w:fill="auto"/>
                  <w:vAlign w:val="center"/>
                </w:tcPr>
                <w:p w14:paraId="771A400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900-241-49</w:t>
                  </w:r>
                </w:p>
              </w:tc>
              <w:tc>
                <w:tcPr>
                  <w:tcW w:w="709" w:type="pct"/>
                  <w:shd w:val="clear" w:color="auto" w:fill="auto"/>
                  <w:vAlign w:val="center"/>
                </w:tcPr>
                <w:p w14:paraId="3D937F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润滑油、液压油</w:t>
                  </w:r>
                </w:p>
              </w:tc>
              <w:tc>
                <w:tcPr>
                  <w:tcW w:w="360" w:type="pct"/>
                  <w:shd w:val="clear" w:color="auto" w:fill="auto"/>
                  <w:vAlign w:val="center"/>
                </w:tcPr>
                <w:p w14:paraId="7B002B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固态</w:t>
                  </w:r>
                </w:p>
              </w:tc>
              <w:tc>
                <w:tcPr>
                  <w:tcW w:w="477" w:type="pct"/>
                  <w:shd w:val="clear" w:color="auto" w:fill="auto"/>
                  <w:vAlign w:val="center"/>
                </w:tcPr>
                <w:p w14:paraId="3AA2E2D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66" w:name="_Toc12155"/>
                  <w:bookmarkStart w:id="67" w:name="_Toc21065"/>
                  <w:r>
                    <w:rPr>
                      <w:rFonts w:hint="default" w:ascii="Times New Roman" w:hAnsi="Times New Roman" w:cs="Times New Roman"/>
                      <w:color w:val="auto"/>
                      <w:kern w:val="0"/>
                      <w:sz w:val="21"/>
                      <w:szCs w:val="21"/>
                      <w:highlight w:val="none"/>
                      <w:lang w:val="en-US" w:eastAsia="zh-CN"/>
                    </w:rPr>
                    <w:t>T,I</w:t>
                  </w:r>
                  <w:bookmarkEnd w:id="66"/>
                  <w:bookmarkEnd w:id="67"/>
                </w:p>
              </w:tc>
              <w:tc>
                <w:tcPr>
                  <w:tcW w:w="531" w:type="pct"/>
                  <w:shd w:val="clear" w:color="auto" w:fill="auto"/>
                  <w:vAlign w:val="center"/>
                </w:tcPr>
                <w:p w14:paraId="0615F1C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68" w:name="_Toc5249"/>
                  <w:bookmarkStart w:id="69" w:name="_Toc29420"/>
                  <w:r>
                    <w:rPr>
                      <w:rFonts w:hint="default" w:ascii="Times New Roman" w:hAnsi="Times New Roman" w:cs="Times New Roman"/>
                      <w:color w:val="auto"/>
                      <w:kern w:val="0"/>
                      <w:sz w:val="21"/>
                      <w:szCs w:val="21"/>
                      <w:highlight w:val="none"/>
                      <w:lang w:val="en-US" w:eastAsia="zh-CN"/>
                    </w:rPr>
                    <w:t>0.0</w:t>
                  </w:r>
                  <w:bookmarkEnd w:id="68"/>
                  <w:r>
                    <w:rPr>
                      <w:rFonts w:hint="default" w:ascii="Times New Roman" w:hAnsi="Times New Roman" w:cs="Times New Roman"/>
                      <w:color w:val="auto"/>
                      <w:kern w:val="0"/>
                      <w:sz w:val="21"/>
                      <w:szCs w:val="21"/>
                      <w:highlight w:val="none"/>
                      <w:lang w:val="en-US" w:eastAsia="zh-CN"/>
                    </w:rPr>
                    <w:t>5</w:t>
                  </w:r>
                  <w:bookmarkEnd w:id="69"/>
                </w:p>
              </w:tc>
              <w:tc>
                <w:tcPr>
                  <w:tcW w:w="472" w:type="pct"/>
                  <w:vMerge w:val="continue"/>
                  <w:vAlign w:val="center"/>
                </w:tcPr>
                <w:p w14:paraId="51A05B9A">
                  <w:pPr>
                    <w:adjustRightInd w:val="0"/>
                    <w:snapToGrid w:val="0"/>
                    <w:spacing w:line="240" w:lineRule="auto"/>
                    <w:ind w:firstLine="0" w:firstLineChars="0"/>
                    <w:jc w:val="center"/>
                    <w:outlineLvl w:val="0"/>
                    <w:rPr>
                      <w:rFonts w:hint="default" w:ascii="Times New Roman" w:hAnsi="Times New Roman" w:eastAsia="宋体" w:cs="Times New Roman"/>
                      <w:snapToGrid w:val="0"/>
                      <w:color w:val="auto"/>
                      <w:sz w:val="21"/>
                      <w:szCs w:val="21"/>
                      <w:highlight w:val="none"/>
                    </w:rPr>
                  </w:pPr>
                </w:p>
              </w:tc>
            </w:tr>
            <w:tr w14:paraId="5B09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8" w:type="pct"/>
                  <w:shd w:val="clear" w:color="auto" w:fill="auto"/>
                  <w:vAlign w:val="center"/>
                </w:tcPr>
                <w:p w14:paraId="21324F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5</w:t>
                  </w:r>
                </w:p>
              </w:tc>
              <w:tc>
                <w:tcPr>
                  <w:tcW w:w="464" w:type="pct"/>
                  <w:vMerge w:val="continue"/>
                  <w:shd w:val="clear" w:color="auto" w:fill="auto"/>
                  <w:vAlign w:val="center"/>
                </w:tcPr>
                <w:p w14:paraId="7590F5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p>
              </w:tc>
              <w:tc>
                <w:tcPr>
                  <w:tcW w:w="592" w:type="pct"/>
                  <w:shd w:val="clear" w:color="auto" w:fill="auto"/>
                  <w:vAlign w:val="center"/>
                </w:tcPr>
                <w:p w14:paraId="654AECE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含油抹布及手套</w:t>
                  </w:r>
                </w:p>
              </w:tc>
              <w:tc>
                <w:tcPr>
                  <w:tcW w:w="446" w:type="pct"/>
                  <w:shd w:val="clear" w:color="auto" w:fill="auto"/>
                  <w:vAlign w:val="center"/>
                </w:tcPr>
                <w:p w14:paraId="0604AF4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70" w:name="_Toc30415"/>
                  <w:r>
                    <w:rPr>
                      <w:rFonts w:hint="default" w:ascii="Times New Roman" w:hAnsi="Times New Roman" w:cs="Times New Roman"/>
                      <w:color w:val="auto"/>
                      <w:kern w:val="0"/>
                      <w:sz w:val="21"/>
                      <w:szCs w:val="21"/>
                      <w:highlight w:val="none"/>
                      <w:lang w:val="en-US" w:eastAsia="zh-CN"/>
                    </w:rPr>
                    <w:t>HW49</w:t>
                  </w:r>
                  <w:bookmarkEnd w:id="70"/>
                </w:p>
              </w:tc>
              <w:tc>
                <w:tcPr>
                  <w:tcW w:w="707" w:type="pct"/>
                  <w:shd w:val="clear" w:color="auto" w:fill="auto"/>
                  <w:vAlign w:val="center"/>
                </w:tcPr>
                <w:p w14:paraId="2A8CE2F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71" w:name="_Toc27760"/>
                  <w:r>
                    <w:rPr>
                      <w:rFonts w:hint="default" w:ascii="Times New Roman" w:hAnsi="Times New Roman" w:cs="Times New Roman"/>
                      <w:color w:val="auto"/>
                      <w:kern w:val="0"/>
                      <w:sz w:val="21"/>
                      <w:szCs w:val="21"/>
                      <w:highlight w:val="none"/>
                      <w:lang w:val="en-US" w:eastAsia="zh-CN"/>
                    </w:rPr>
                    <w:t>900-041-49</w:t>
                  </w:r>
                  <w:bookmarkEnd w:id="71"/>
                </w:p>
              </w:tc>
              <w:tc>
                <w:tcPr>
                  <w:tcW w:w="709" w:type="pct"/>
                  <w:shd w:val="clear" w:color="auto" w:fill="auto"/>
                  <w:vAlign w:val="center"/>
                </w:tcPr>
                <w:p w14:paraId="0A2D1B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润滑油、液压油</w:t>
                  </w:r>
                </w:p>
              </w:tc>
              <w:tc>
                <w:tcPr>
                  <w:tcW w:w="360" w:type="pct"/>
                  <w:shd w:val="clear" w:color="auto" w:fill="auto"/>
                  <w:vAlign w:val="center"/>
                </w:tcPr>
                <w:p w14:paraId="15035C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固态</w:t>
                  </w:r>
                </w:p>
              </w:tc>
              <w:tc>
                <w:tcPr>
                  <w:tcW w:w="477" w:type="pct"/>
                  <w:shd w:val="clear" w:color="auto" w:fill="auto"/>
                  <w:vAlign w:val="center"/>
                </w:tcPr>
                <w:p w14:paraId="72D14B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72" w:name="_Toc12194"/>
                  <w:r>
                    <w:rPr>
                      <w:rFonts w:hint="default" w:ascii="Times New Roman" w:hAnsi="Times New Roman" w:cs="Times New Roman"/>
                      <w:color w:val="auto"/>
                      <w:kern w:val="0"/>
                      <w:sz w:val="21"/>
                      <w:szCs w:val="21"/>
                      <w:highlight w:val="none"/>
                      <w:lang w:val="en-US" w:eastAsia="zh-CN"/>
                    </w:rPr>
                    <w:t>T</w:t>
                  </w:r>
                  <w:bookmarkEnd w:id="72"/>
                </w:p>
              </w:tc>
              <w:tc>
                <w:tcPr>
                  <w:tcW w:w="531" w:type="pct"/>
                  <w:shd w:val="clear" w:color="auto" w:fill="auto"/>
                  <w:vAlign w:val="center"/>
                </w:tcPr>
                <w:p w14:paraId="7246ED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color w:val="auto"/>
                      <w:kern w:val="0"/>
                      <w:sz w:val="21"/>
                      <w:szCs w:val="21"/>
                      <w:highlight w:val="none"/>
                      <w:lang w:val="en-US" w:eastAsia="zh-CN"/>
                    </w:rPr>
                  </w:pPr>
                  <w:bookmarkStart w:id="73" w:name="_Toc16893"/>
                  <w:r>
                    <w:rPr>
                      <w:rFonts w:hint="default" w:ascii="Times New Roman" w:hAnsi="Times New Roman" w:cs="Times New Roman"/>
                      <w:color w:val="auto"/>
                      <w:kern w:val="0"/>
                      <w:sz w:val="21"/>
                      <w:szCs w:val="21"/>
                      <w:highlight w:val="none"/>
                      <w:lang w:val="en-US" w:eastAsia="zh-CN"/>
                    </w:rPr>
                    <w:t>0.01</w:t>
                  </w:r>
                  <w:bookmarkEnd w:id="73"/>
                </w:p>
              </w:tc>
              <w:tc>
                <w:tcPr>
                  <w:tcW w:w="472" w:type="pct"/>
                  <w:vMerge w:val="continue"/>
                  <w:vAlign w:val="center"/>
                </w:tcPr>
                <w:p w14:paraId="19A8C9D4">
                  <w:pPr>
                    <w:adjustRightInd w:val="0"/>
                    <w:snapToGrid w:val="0"/>
                    <w:spacing w:line="240" w:lineRule="auto"/>
                    <w:ind w:firstLine="0" w:firstLineChars="0"/>
                    <w:jc w:val="center"/>
                    <w:outlineLvl w:val="0"/>
                    <w:rPr>
                      <w:rFonts w:hint="default" w:ascii="Times New Roman" w:hAnsi="Times New Roman" w:eastAsia="宋体" w:cs="Times New Roman"/>
                      <w:snapToGrid w:val="0"/>
                      <w:color w:val="auto"/>
                      <w:sz w:val="21"/>
                      <w:szCs w:val="21"/>
                      <w:highlight w:val="none"/>
                    </w:rPr>
                  </w:pPr>
                </w:p>
              </w:tc>
            </w:tr>
          </w:tbl>
          <w:p w14:paraId="0D9CD654">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综上所述，本项目产生的各种固体废弃物均能得到妥善处置，从根本上解决了固体废弃物的污染问题，实现了固体废弃物的无害化处理。</w:t>
            </w:r>
          </w:p>
          <w:p w14:paraId="1F03A88D">
            <w:pPr>
              <w:adjustRightInd w:val="0"/>
              <w:snapToGrid w:val="0"/>
              <w:spacing w:line="360" w:lineRule="auto"/>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2、固体废物环境影响分析</w:t>
            </w:r>
          </w:p>
          <w:p w14:paraId="674C6CE0">
            <w:pPr>
              <w:adjustRightInd w:val="0"/>
              <w:snapToGrid w:val="0"/>
              <w:spacing w:line="360" w:lineRule="auto"/>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（1）危险废物贮存场所环境影响分析</w:t>
            </w:r>
          </w:p>
          <w:p w14:paraId="76EF91B7">
            <w:pPr>
              <w:adjustRightInd w:val="0"/>
              <w:snapToGrid w:val="0"/>
              <w:spacing w:line="360" w:lineRule="auto"/>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①危险废物暂存库选址的可行性分析</w:t>
            </w:r>
          </w:p>
          <w:p w14:paraId="6380D8FB">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本项目为</w:t>
            </w:r>
            <w:r>
              <w:rPr>
                <w:rFonts w:hint="default" w:ascii="Times New Roman" w:hAnsi="Times New Roman" w:cs="Times New Roman"/>
                <w:bCs/>
                <w:color w:val="auto"/>
                <w:sz w:val="24"/>
                <w:highlight w:val="none"/>
                <w:lang w:eastAsia="zh-CN"/>
              </w:rPr>
              <w:t>新建</w:t>
            </w:r>
            <w:r>
              <w:rPr>
                <w:rFonts w:hint="default" w:ascii="Times New Roman" w:hAnsi="Times New Roman" w:cs="Times New Roman"/>
                <w:bCs/>
                <w:color w:val="auto"/>
                <w:sz w:val="24"/>
                <w:highlight w:val="none"/>
              </w:rPr>
              <w:t>项</w:t>
            </w:r>
            <w:r>
              <w:rPr>
                <w:rFonts w:hint="default" w:ascii="Times New Roman" w:hAnsi="Times New Roman" w:eastAsia="宋体" w:cs="Times New Roman"/>
                <w:bCs/>
                <w:color w:val="auto"/>
                <w:sz w:val="24"/>
                <w:highlight w:val="none"/>
              </w:rPr>
              <w:t>目，</w:t>
            </w:r>
            <w:r>
              <w:rPr>
                <w:rFonts w:hint="default" w:ascii="Times New Roman" w:hAnsi="Times New Roman" w:eastAsia="宋体" w:cs="Times New Roman"/>
                <w:bCs/>
                <w:color w:val="auto"/>
                <w:sz w:val="24"/>
                <w:highlight w:val="none"/>
                <w:lang w:eastAsia="zh-CN"/>
              </w:rPr>
              <w:t>拟于厂房西侧</w:t>
            </w:r>
            <w:r>
              <w:rPr>
                <w:rFonts w:hint="default" w:ascii="Times New Roman" w:hAnsi="Times New Roman" w:eastAsia="宋体" w:cs="Times New Roman"/>
                <w:bCs/>
                <w:color w:val="auto"/>
                <w:sz w:val="24"/>
                <w:highlight w:val="none"/>
                <w:lang w:val="en-US" w:eastAsia="zh-CN"/>
              </w:rPr>
              <w:t>建设</w:t>
            </w:r>
            <w:r>
              <w:rPr>
                <w:rFonts w:hint="default" w:ascii="Times New Roman" w:hAnsi="Times New Roman" w:eastAsia="宋体" w:cs="Times New Roman"/>
                <w:bCs/>
                <w:color w:val="auto"/>
                <w:sz w:val="24"/>
                <w:highlight w:val="none"/>
                <w:lang w:eastAsia="zh-CN"/>
              </w:rPr>
              <w:t>危废库</w:t>
            </w:r>
            <w:r>
              <w:rPr>
                <w:rFonts w:hint="default" w:ascii="Times New Roman" w:hAnsi="Times New Roman" w:eastAsia="宋体" w:cs="Times New Roman"/>
                <w:bCs/>
                <w:color w:val="auto"/>
                <w:sz w:val="24"/>
                <w:highlight w:val="none"/>
                <w:lang w:val="en-US" w:eastAsia="zh-CN"/>
              </w:rPr>
              <w:t>，占地面积约30m</w:t>
            </w:r>
            <w:r>
              <w:rPr>
                <w:rFonts w:hint="default" w:ascii="Times New Roman" w:hAnsi="Times New Roman" w:eastAsia="宋体" w:cs="Times New Roman"/>
                <w:bCs/>
                <w:color w:val="auto"/>
                <w:sz w:val="24"/>
                <w:highlight w:val="none"/>
                <w:vertAlign w:val="superscript"/>
                <w:lang w:val="en-US" w:eastAsia="zh-CN"/>
              </w:rPr>
              <w:t>2</w:t>
            </w:r>
            <w:r>
              <w:rPr>
                <w:rFonts w:hint="default" w:ascii="Times New Roman" w:hAnsi="Times New Roman" w:eastAsia="宋体" w:cs="Times New Roman"/>
                <w:bCs/>
                <w:color w:val="auto"/>
                <w:sz w:val="24"/>
                <w:highlight w:val="none"/>
              </w:rPr>
              <w:t>。危险废物暂存库按照《危险废物</w:t>
            </w:r>
            <w:r>
              <w:rPr>
                <w:rFonts w:hint="default" w:ascii="Times New Roman" w:hAnsi="Times New Roman" w:cs="Times New Roman"/>
                <w:bCs/>
                <w:color w:val="auto"/>
                <w:sz w:val="24"/>
                <w:highlight w:val="none"/>
              </w:rPr>
              <w:t>贮存污染控制标准》（GB 18597—2023）要求进行防渗、防风、防雨、防晒，危险废物采用包装容器分类储存。危废暂存场所选址、建设符合《危险废物贮存污染控制标准》（GB 18597—2023）要求。</w:t>
            </w:r>
          </w:p>
          <w:p w14:paraId="4D61E700">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表4-1</w:t>
            </w:r>
            <w:r>
              <w:rPr>
                <w:rFonts w:hint="default" w:ascii="Times New Roman" w:hAnsi="Times New Roman" w:cs="Times New Roman"/>
                <w:b/>
                <w:bCs/>
                <w:color w:val="auto"/>
                <w:kern w:val="0"/>
                <w:sz w:val="21"/>
                <w:szCs w:val="21"/>
                <w:highlight w:val="none"/>
                <w:lang w:val="en-US" w:eastAsia="zh-CN" w:bidi="ar"/>
              </w:rPr>
              <w:t>7</w:t>
            </w:r>
            <w:r>
              <w:rPr>
                <w:rFonts w:hint="default" w:ascii="Times New Roman" w:hAnsi="Times New Roman" w:eastAsia="宋体" w:cs="Times New Roman"/>
                <w:b/>
                <w:bCs/>
                <w:color w:val="auto"/>
                <w:kern w:val="0"/>
                <w:sz w:val="21"/>
                <w:szCs w:val="21"/>
                <w:highlight w:val="none"/>
                <w:lang w:val="en-US" w:eastAsia="zh-CN" w:bidi="ar"/>
              </w:rPr>
              <w:t xml:space="preserve">  危废暂存库选址可行性分析</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4"/>
              <w:gridCol w:w="4346"/>
              <w:gridCol w:w="3027"/>
            </w:tblGrid>
            <w:tr w14:paraId="3AA90D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22" w:type="dxa"/>
                  <w:tcBorders>
                    <w:top w:val="single" w:color="auto" w:sz="4" w:space="0"/>
                    <w:left w:val="single" w:color="auto" w:sz="4" w:space="0"/>
                    <w:bottom w:val="single" w:color="auto" w:sz="6" w:space="0"/>
                    <w:right w:val="single" w:color="auto" w:sz="6" w:space="0"/>
                  </w:tcBorders>
                  <w:noWrap w:val="0"/>
                  <w:vAlign w:val="center"/>
                </w:tcPr>
                <w:p w14:paraId="771370D0">
                  <w:pPr>
                    <w:pStyle w:val="39"/>
                    <w:spacing w:before="24" w:after="24" w:line="240" w:lineRule="auto"/>
                    <w:rPr>
                      <w:rFonts w:hint="default" w:ascii="Times New Roman" w:hAnsi="Times New Roman" w:cs="Times New Roman"/>
                      <w:b/>
                      <w:bCs/>
                      <w:color w:val="auto"/>
                      <w:szCs w:val="24"/>
                      <w:highlight w:val="none"/>
                      <w:lang w:val="en-US" w:eastAsia="zh-CN"/>
                    </w:rPr>
                  </w:pPr>
                  <w:r>
                    <w:rPr>
                      <w:rFonts w:hint="default" w:ascii="Times New Roman" w:hAnsi="Times New Roman" w:cs="Times New Roman"/>
                      <w:b/>
                      <w:bCs/>
                      <w:color w:val="auto"/>
                      <w:szCs w:val="24"/>
                      <w:highlight w:val="none"/>
                      <w:lang w:val="en-US" w:eastAsia="zh-CN"/>
                    </w:rPr>
                    <w:t>序号</w:t>
                  </w:r>
                </w:p>
              </w:tc>
              <w:tc>
                <w:tcPr>
                  <w:tcW w:w="4331" w:type="dxa"/>
                  <w:tcBorders>
                    <w:top w:val="single" w:color="auto" w:sz="4" w:space="0"/>
                    <w:left w:val="single" w:color="auto" w:sz="6" w:space="0"/>
                    <w:bottom w:val="single" w:color="auto" w:sz="6" w:space="0"/>
                    <w:right w:val="single" w:color="auto" w:sz="6" w:space="0"/>
                  </w:tcBorders>
                  <w:noWrap w:val="0"/>
                  <w:vAlign w:val="center"/>
                </w:tcPr>
                <w:p w14:paraId="564EFA0E">
                  <w:pPr>
                    <w:pStyle w:val="39"/>
                    <w:spacing w:before="24" w:after="24" w:line="240" w:lineRule="auto"/>
                    <w:rPr>
                      <w:rFonts w:hint="default" w:ascii="Times New Roman" w:hAnsi="Times New Roman" w:cs="Times New Roman"/>
                      <w:b/>
                      <w:bCs/>
                      <w:color w:val="auto"/>
                      <w:szCs w:val="24"/>
                      <w:highlight w:val="none"/>
                      <w:lang w:val="en-US" w:eastAsia="zh-CN"/>
                    </w:rPr>
                  </w:pPr>
                  <w:r>
                    <w:rPr>
                      <w:rFonts w:hint="default" w:ascii="Times New Roman" w:hAnsi="Times New Roman" w:cs="Times New Roman"/>
                      <w:b/>
                      <w:bCs/>
                      <w:color w:val="auto"/>
                      <w:szCs w:val="24"/>
                      <w:highlight w:val="none"/>
                      <w:lang w:val="en-US" w:eastAsia="zh-CN"/>
                    </w:rPr>
                    <w:t>《危险废物贮存污染控制标准》（GB 18597—2023）标准要求</w:t>
                  </w:r>
                </w:p>
              </w:tc>
              <w:tc>
                <w:tcPr>
                  <w:tcW w:w="3017" w:type="dxa"/>
                  <w:tcBorders>
                    <w:top w:val="single" w:color="auto" w:sz="4" w:space="0"/>
                    <w:left w:val="single" w:color="auto" w:sz="6" w:space="0"/>
                    <w:bottom w:val="single" w:color="auto" w:sz="6" w:space="0"/>
                    <w:right w:val="single" w:color="auto" w:sz="4" w:space="0"/>
                  </w:tcBorders>
                  <w:noWrap w:val="0"/>
                  <w:vAlign w:val="center"/>
                </w:tcPr>
                <w:p w14:paraId="287C9D20">
                  <w:pPr>
                    <w:pStyle w:val="39"/>
                    <w:spacing w:before="24" w:after="24" w:line="240" w:lineRule="auto"/>
                    <w:rPr>
                      <w:rFonts w:hint="default" w:ascii="Times New Roman" w:hAnsi="Times New Roman" w:cs="Times New Roman"/>
                      <w:b/>
                      <w:bCs/>
                      <w:color w:val="auto"/>
                      <w:szCs w:val="24"/>
                      <w:highlight w:val="none"/>
                      <w:lang w:val="en-US" w:eastAsia="zh-CN"/>
                    </w:rPr>
                  </w:pPr>
                  <w:r>
                    <w:rPr>
                      <w:rFonts w:hint="default" w:ascii="Times New Roman" w:hAnsi="Times New Roman" w:cs="Times New Roman"/>
                      <w:b/>
                      <w:bCs/>
                      <w:color w:val="auto"/>
                      <w:szCs w:val="24"/>
                      <w:highlight w:val="none"/>
                      <w:lang w:val="en-US" w:eastAsia="zh-CN"/>
                    </w:rPr>
                    <w:t>本项目危废暂存库选址可行性分析</w:t>
                  </w:r>
                </w:p>
              </w:tc>
            </w:tr>
            <w:tr w14:paraId="361A6B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22" w:type="dxa"/>
                  <w:tcBorders>
                    <w:top w:val="single" w:color="auto" w:sz="6" w:space="0"/>
                    <w:left w:val="single" w:color="auto" w:sz="4" w:space="0"/>
                    <w:bottom w:val="single" w:color="auto" w:sz="6" w:space="0"/>
                    <w:right w:val="single" w:color="auto" w:sz="6" w:space="0"/>
                  </w:tcBorders>
                  <w:noWrap w:val="0"/>
                  <w:vAlign w:val="center"/>
                </w:tcPr>
                <w:p w14:paraId="515B6B0A">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1</w:t>
                  </w:r>
                </w:p>
              </w:tc>
              <w:tc>
                <w:tcPr>
                  <w:tcW w:w="4331" w:type="dxa"/>
                  <w:tcBorders>
                    <w:top w:val="single" w:color="auto" w:sz="6" w:space="0"/>
                    <w:left w:val="single" w:color="auto" w:sz="6" w:space="0"/>
                    <w:bottom w:val="single" w:color="auto" w:sz="6" w:space="0"/>
                    <w:right w:val="single" w:color="auto" w:sz="6" w:space="0"/>
                  </w:tcBorders>
                  <w:noWrap w:val="0"/>
                  <w:vAlign w:val="center"/>
                </w:tcPr>
                <w:p w14:paraId="20D63A40">
                  <w:pPr>
                    <w:pStyle w:val="39"/>
                    <w:spacing w:before="24" w:after="24"/>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贮存设施选址应满足生态环境保护法律法规、规划和“三线一单”生态环境分区管控的要求，建设项目应依法进行环境影响评价。</w:t>
                  </w:r>
                </w:p>
              </w:tc>
              <w:tc>
                <w:tcPr>
                  <w:tcW w:w="3017" w:type="dxa"/>
                  <w:tcBorders>
                    <w:top w:val="single" w:color="auto" w:sz="6" w:space="0"/>
                    <w:left w:val="single" w:color="auto" w:sz="6" w:space="0"/>
                    <w:bottom w:val="single" w:color="auto" w:sz="6" w:space="0"/>
                    <w:right w:val="single" w:color="auto" w:sz="4" w:space="0"/>
                  </w:tcBorders>
                  <w:noWrap w:val="0"/>
                  <w:vAlign w:val="center"/>
                </w:tcPr>
                <w:p w14:paraId="364FC797">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本项目符合相关法律法规、规划和“三线一单”生态环境分区管控的要求。</w:t>
                  </w:r>
                </w:p>
              </w:tc>
            </w:tr>
            <w:tr w14:paraId="13A247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22" w:type="dxa"/>
                  <w:tcBorders>
                    <w:top w:val="single" w:color="auto" w:sz="6" w:space="0"/>
                    <w:left w:val="single" w:color="auto" w:sz="4" w:space="0"/>
                    <w:bottom w:val="single" w:color="auto" w:sz="6" w:space="0"/>
                    <w:right w:val="single" w:color="auto" w:sz="6" w:space="0"/>
                  </w:tcBorders>
                  <w:noWrap w:val="0"/>
                  <w:vAlign w:val="center"/>
                </w:tcPr>
                <w:p w14:paraId="1CD743B5">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2</w:t>
                  </w:r>
                </w:p>
              </w:tc>
              <w:tc>
                <w:tcPr>
                  <w:tcW w:w="4331" w:type="dxa"/>
                  <w:tcBorders>
                    <w:top w:val="single" w:color="auto" w:sz="6" w:space="0"/>
                    <w:left w:val="single" w:color="auto" w:sz="6" w:space="0"/>
                    <w:bottom w:val="single" w:color="auto" w:sz="6" w:space="0"/>
                    <w:right w:val="single" w:color="auto" w:sz="6" w:space="0"/>
                  </w:tcBorders>
                  <w:noWrap w:val="0"/>
                  <w:vAlign w:val="center"/>
                </w:tcPr>
                <w:p w14:paraId="7180AADB">
                  <w:pPr>
                    <w:pStyle w:val="39"/>
                    <w:spacing w:before="24" w:after="24"/>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集中贮存设施不应选在生态保护红线区域、永久基本农田和其他需要特别保护的区域内，不应建在溶洞区或易遭受洪水、滑坡、泥石流、潮汐等严重自然灾害影响的地区。</w:t>
                  </w:r>
                </w:p>
              </w:tc>
              <w:tc>
                <w:tcPr>
                  <w:tcW w:w="3017" w:type="dxa"/>
                  <w:tcBorders>
                    <w:top w:val="single" w:color="auto" w:sz="6" w:space="0"/>
                    <w:left w:val="single" w:color="auto" w:sz="6" w:space="0"/>
                    <w:bottom w:val="single" w:color="auto" w:sz="6" w:space="0"/>
                    <w:right w:val="single" w:color="auto" w:sz="4" w:space="0"/>
                  </w:tcBorders>
                  <w:noWrap w:val="0"/>
                  <w:vAlign w:val="center"/>
                </w:tcPr>
                <w:p w14:paraId="07C78A16">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本项目不涉及生态保护红线区域、永久基本农田和其他需要特别保护的区域内，未建在溶洞区或易遭受洪水、滑坡、泥石流、潮汐等严重自然灾害影响的地区。</w:t>
                  </w:r>
                </w:p>
              </w:tc>
            </w:tr>
            <w:tr w14:paraId="585DB2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22" w:type="dxa"/>
                  <w:tcBorders>
                    <w:top w:val="single" w:color="auto" w:sz="6" w:space="0"/>
                    <w:left w:val="single" w:color="auto" w:sz="4" w:space="0"/>
                    <w:bottom w:val="single" w:color="auto" w:sz="6" w:space="0"/>
                    <w:right w:val="single" w:color="auto" w:sz="6" w:space="0"/>
                  </w:tcBorders>
                  <w:noWrap w:val="0"/>
                  <w:vAlign w:val="center"/>
                </w:tcPr>
                <w:p w14:paraId="1F5FC53D">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3</w:t>
                  </w:r>
                </w:p>
              </w:tc>
              <w:tc>
                <w:tcPr>
                  <w:tcW w:w="4331" w:type="dxa"/>
                  <w:tcBorders>
                    <w:top w:val="single" w:color="auto" w:sz="6" w:space="0"/>
                    <w:left w:val="single" w:color="auto" w:sz="6" w:space="0"/>
                    <w:bottom w:val="single" w:color="auto" w:sz="6" w:space="0"/>
                    <w:right w:val="single" w:color="auto" w:sz="6" w:space="0"/>
                  </w:tcBorders>
                  <w:noWrap w:val="0"/>
                  <w:vAlign w:val="center"/>
                </w:tcPr>
                <w:p w14:paraId="13C0D3ED">
                  <w:pPr>
                    <w:pStyle w:val="39"/>
                    <w:spacing w:before="24" w:after="24"/>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贮存设施不应选在江河、湖泊、运河、渠道、水库及其最高水位线以下的滩地和岸坡，以及法律法规规定禁止贮存危险废物的其他地点。</w:t>
                  </w:r>
                </w:p>
              </w:tc>
              <w:tc>
                <w:tcPr>
                  <w:tcW w:w="3017" w:type="dxa"/>
                  <w:tcBorders>
                    <w:top w:val="single" w:color="auto" w:sz="6" w:space="0"/>
                    <w:left w:val="single" w:color="auto" w:sz="6" w:space="0"/>
                    <w:bottom w:val="single" w:color="auto" w:sz="6" w:space="0"/>
                    <w:right w:val="single" w:color="auto" w:sz="4" w:space="0"/>
                  </w:tcBorders>
                  <w:noWrap w:val="0"/>
                  <w:vAlign w:val="center"/>
                </w:tcPr>
                <w:p w14:paraId="131E1649">
                  <w:pPr>
                    <w:pStyle w:val="39"/>
                    <w:spacing w:before="24" w:after="24"/>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本项目位于</w:t>
                  </w:r>
                  <w:r>
                    <w:rPr>
                      <w:rFonts w:hint="default" w:ascii="Times New Roman" w:hAnsi="Times New Roman" w:cs="Times New Roman"/>
                      <w:color w:val="auto"/>
                      <w:lang w:val="en-US" w:eastAsia="zh-CN"/>
                    </w:rPr>
                    <w:t>安徽省蚌埠市龙子湖区李楼乡胜利东路199号（厂区东片）</w:t>
                  </w:r>
                  <w:r>
                    <w:rPr>
                      <w:rFonts w:hint="default" w:ascii="Times New Roman" w:hAnsi="Times New Roman" w:cs="Times New Roman"/>
                      <w:color w:val="auto"/>
                      <w:szCs w:val="24"/>
                      <w:highlight w:val="none"/>
                      <w:lang w:val="en-US" w:eastAsia="zh-CN"/>
                    </w:rPr>
                    <w:t>，符合要求。</w:t>
                  </w:r>
                </w:p>
              </w:tc>
            </w:tr>
            <w:tr w14:paraId="49C0D2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22" w:type="dxa"/>
                  <w:tcBorders>
                    <w:top w:val="single" w:color="auto" w:sz="6" w:space="0"/>
                    <w:left w:val="single" w:color="auto" w:sz="4" w:space="0"/>
                    <w:bottom w:val="single" w:color="auto" w:sz="6" w:space="0"/>
                    <w:right w:val="single" w:color="auto" w:sz="6" w:space="0"/>
                  </w:tcBorders>
                  <w:noWrap w:val="0"/>
                  <w:vAlign w:val="center"/>
                </w:tcPr>
                <w:p w14:paraId="4FD4129C">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4</w:t>
                  </w:r>
                </w:p>
              </w:tc>
              <w:tc>
                <w:tcPr>
                  <w:tcW w:w="4331" w:type="dxa"/>
                  <w:tcBorders>
                    <w:top w:val="single" w:color="auto" w:sz="6" w:space="0"/>
                    <w:left w:val="single" w:color="auto" w:sz="6" w:space="0"/>
                    <w:bottom w:val="single" w:color="auto" w:sz="6" w:space="0"/>
                    <w:right w:val="single" w:color="auto" w:sz="6" w:space="0"/>
                  </w:tcBorders>
                  <w:noWrap w:val="0"/>
                  <w:vAlign w:val="center"/>
                </w:tcPr>
                <w:p w14:paraId="018ADEF1">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贮存设施场址的位置以及其与周围环境敏感目标的距离应依据环境影响评价文件确定。</w:t>
                  </w:r>
                </w:p>
              </w:tc>
              <w:tc>
                <w:tcPr>
                  <w:tcW w:w="3017" w:type="dxa"/>
                  <w:tcBorders>
                    <w:top w:val="single" w:color="auto" w:sz="6" w:space="0"/>
                    <w:left w:val="single" w:color="auto" w:sz="6" w:space="0"/>
                    <w:bottom w:val="single" w:color="auto" w:sz="6" w:space="0"/>
                    <w:right w:val="single" w:color="auto" w:sz="4" w:space="0"/>
                  </w:tcBorders>
                  <w:noWrap w:val="0"/>
                  <w:vAlign w:val="center"/>
                </w:tcPr>
                <w:p w14:paraId="5B164345">
                  <w:pPr>
                    <w:pStyle w:val="39"/>
                    <w:spacing w:before="24" w:after="24" w:line="240" w:lineRule="auto"/>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本项目与周围环境敏感目标的距离符合要求。</w:t>
                  </w:r>
                </w:p>
              </w:tc>
            </w:tr>
          </w:tbl>
          <w:p w14:paraId="26DE43D8">
            <w:pPr>
              <w:adjustRightInd w:val="0"/>
              <w:snapToGrid w:val="0"/>
              <w:spacing w:line="360" w:lineRule="auto"/>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（2）危险废物暂存库污染控制要求</w:t>
            </w:r>
          </w:p>
          <w:p w14:paraId="46CE88C8">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本项目产生的危险废物严格遵照《危险废物贮存污染控制标准》（GB 18597—2023）的相关规定，一般要求如下：</w:t>
            </w:r>
          </w:p>
          <w:p w14:paraId="2214A843">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fldChar w:fldCharType="begin"/>
            </w:r>
            <w:r>
              <w:rPr>
                <w:rFonts w:hint="default" w:ascii="Times New Roman" w:hAnsi="Times New Roman" w:cs="Times New Roman"/>
                <w:bCs/>
                <w:color w:val="auto"/>
                <w:sz w:val="24"/>
                <w:highlight w:val="none"/>
              </w:rPr>
              <w:instrText xml:space="preserve"> = 1 \* GB3 </w:instrText>
            </w:r>
            <w:r>
              <w:rPr>
                <w:rFonts w:hint="default" w:ascii="Times New Roman" w:hAnsi="Times New Roman" w:cs="Times New Roman"/>
                <w:bCs/>
                <w:color w:val="auto"/>
                <w:sz w:val="24"/>
                <w:highlight w:val="none"/>
              </w:rPr>
              <w:fldChar w:fldCharType="separate"/>
            </w:r>
            <w:r>
              <w:rPr>
                <w:rFonts w:hint="default" w:ascii="Times New Roman" w:hAnsi="Times New Roman" w:cs="Times New Roman"/>
                <w:bCs/>
                <w:color w:val="auto"/>
                <w:sz w:val="24"/>
                <w:highlight w:val="none"/>
              </w:rPr>
              <w:t>①</w:t>
            </w:r>
            <w:r>
              <w:rPr>
                <w:rFonts w:hint="default" w:ascii="Times New Roman" w:hAnsi="Times New Roman" w:cs="Times New Roman"/>
                <w:bCs/>
                <w:color w:val="auto"/>
                <w:sz w:val="24"/>
                <w:highlight w:val="none"/>
              </w:rPr>
              <w:fldChar w:fldCharType="end"/>
            </w:r>
            <w:r>
              <w:rPr>
                <w:rFonts w:hint="default" w:ascii="Times New Roman" w:hAnsi="Times New Roman" w:cs="Times New Roman"/>
                <w:bCs/>
                <w:color w:val="auto"/>
                <w:sz w:val="24"/>
                <w:highlight w:val="none"/>
              </w:rPr>
              <w:t>贮存设施应根据危险废物的形态、物理化学性质、包装形式和污染物迁移途径，采取必要的防风、防晒、防雨、防漏、防渗、防腐以及其他环境污染防治措施，不应露天堆放危险废物。</w:t>
            </w:r>
          </w:p>
          <w:p w14:paraId="77F60AF1">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②贮存设施应根据危险废物的类别、数量、形态、物理化学性质和污染防治等要求设置必要的贮存分区，避免不相容的危险废物接触、混合。</w:t>
            </w:r>
          </w:p>
          <w:p w14:paraId="52ADCEE6">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③贮存设施或贮存分区内地面、墙面裙脚、堵截泄漏的围堰、接触危险废物的隔板和墙体等应采用坚固的材料建造，表面无裂缝。</w:t>
            </w:r>
          </w:p>
          <w:p w14:paraId="21FB31AD">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④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cs="Times New Roman"/>
                <w:bCs/>
                <w:color w:val="auto"/>
                <w:sz w:val="24"/>
                <w:highlight w:val="none"/>
                <w:vertAlign w:val="superscript"/>
              </w:rPr>
              <w:t>-7</w:t>
            </w:r>
            <w:r>
              <w:rPr>
                <w:rFonts w:hint="default" w:ascii="Times New Roman" w:hAnsi="Times New Roman" w:cs="Times New Roman"/>
                <w:bCs/>
                <w:color w:val="auto"/>
                <w:sz w:val="24"/>
                <w:highlight w:val="none"/>
              </w:rPr>
              <w:t>cm/s），或至少2mm厚高密度聚乙烯膜等人工防渗材料（渗透系数不大于10</w:t>
            </w:r>
            <w:r>
              <w:rPr>
                <w:rFonts w:hint="default" w:ascii="Times New Roman" w:hAnsi="Times New Roman" w:cs="Times New Roman"/>
                <w:bCs/>
                <w:color w:val="auto"/>
                <w:sz w:val="24"/>
                <w:highlight w:val="none"/>
                <w:vertAlign w:val="superscript"/>
              </w:rPr>
              <w:t>-10</w:t>
            </w:r>
            <w:r>
              <w:rPr>
                <w:rFonts w:hint="default" w:ascii="Times New Roman" w:hAnsi="Times New Roman" w:cs="Times New Roman"/>
                <w:bCs/>
                <w:color w:val="auto"/>
                <w:sz w:val="24"/>
                <w:highlight w:val="none"/>
              </w:rPr>
              <w:t>cm/s），或其他防渗性能等效的材料。</w:t>
            </w:r>
          </w:p>
          <w:p w14:paraId="5378B126">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⑤同一贮存设施宜采用相同的防渗、防腐工艺（包括防渗、防腐结构或材料），防渗、防腐材料应覆盖所有可能与废物及其渗滤液、渗漏液等接触的构筑物表面：采用不同防渗、防腐工艺应分别建设贮存分区。</w:t>
            </w:r>
          </w:p>
          <w:p w14:paraId="74BDEDA5">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⑥贮存设施应采取技术和管理措施防止无关人员进入。</w:t>
            </w:r>
          </w:p>
          <w:p w14:paraId="77E54A2D">
            <w:pPr>
              <w:adjustRightInd w:val="0"/>
              <w:snapToGrid w:val="0"/>
              <w:spacing w:line="360" w:lineRule="auto"/>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（3）贮存过程污染控制要求</w:t>
            </w:r>
          </w:p>
          <w:p w14:paraId="5E69266A">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贮存过程一般规定如下：</w:t>
            </w:r>
          </w:p>
          <w:p w14:paraId="2150E33A">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①在常温常压下不易水解、不易挥发的固态危险废物可分类堆放贮存，其他固态危险废物应装入容器或包装物内贮存。</w:t>
            </w:r>
          </w:p>
          <w:p w14:paraId="4210006E">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②液态危险废物应装入容器内贮存。</w:t>
            </w:r>
          </w:p>
          <w:p w14:paraId="1AFBF748">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③半固态危险废物应装入容器或包装袋内贮存，或直接采用贮存池贮存。</w:t>
            </w:r>
          </w:p>
          <w:p w14:paraId="05346D13">
            <w:pPr>
              <w:adjustRightInd w:val="0"/>
              <w:snapToGrid w:val="0"/>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五、地下水、土壤环境影响分析</w:t>
            </w:r>
          </w:p>
          <w:p w14:paraId="697F1C59">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（1）源头上控制对地下水的污染</w:t>
            </w:r>
          </w:p>
          <w:p w14:paraId="071F70EA">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项目对产生的废物进行合理的治理，以尽可能从源头上减少污染物排放；严格按照国家相关规范要求，对污水运送管线、整个车间采取相应措施，以防止和降低污染物的跑、冒、滴、漏、将污染物泄漏的环境风险事故降到最低程度；堆放各种原辅材料、固体废物的堆放场地按照国家相关规范要求，采取防泄漏措施。</w:t>
            </w:r>
          </w:p>
          <w:p w14:paraId="00C83DE1">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（2）土壤和地下水污染防治措施</w:t>
            </w:r>
          </w:p>
          <w:p w14:paraId="32C125E2">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本项目地下水污染预防措施按照</w:t>
            </w:r>
            <w:r>
              <w:rPr>
                <w:rFonts w:hint="default"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源头控制、分区控制、污染监控、应急响应</w:t>
            </w:r>
            <w:r>
              <w:rPr>
                <w:rFonts w:hint="default"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的主动与被动防渗相结合的防渗原则。</w:t>
            </w:r>
          </w:p>
          <w:p w14:paraId="40AC8633">
            <w:pPr>
              <w:adjustRightInd w:val="0"/>
              <w:snapToGrid w:val="0"/>
              <w:spacing w:line="360" w:lineRule="auto"/>
              <w:ind w:firstLine="480" w:firstLineChars="200"/>
              <w:rPr>
                <w:rFonts w:hint="default" w:ascii="Times New Roman" w:hAnsi="Times New Roman" w:cs="Times New Roman"/>
                <w:bCs/>
                <w:color w:val="auto"/>
                <w:sz w:val="24"/>
                <w:highlight w:val="none"/>
                <w:lang w:eastAsia="zh-CN"/>
              </w:rPr>
            </w:pPr>
            <w:r>
              <w:rPr>
                <w:rFonts w:hint="default" w:ascii="Times New Roman" w:hAnsi="Times New Roman" w:cs="Times New Roman"/>
                <w:bCs/>
                <w:color w:val="auto"/>
                <w:sz w:val="24"/>
                <w:highlight w:val="none"/>
              </w:rPr>
              <w:t>源头控制措施：积极推行实施清洁生产，实现各类废物循环</w:t>
            </w:r>
            <w:r>
              <w:rPr>
                <w:rFonts w:hint="eastAsia" w:cs="Times New Roman"/>
                <w:bCs/>
                <w:color w:val="auto"/>
                <w:sz w:val="24"/>
                <w:highlight w:val="none"/>
                <w:lang w:eastAsia="zh-CN"/>
              </w:rPr>
              <w:t>利用</w:t>
            </w:r>
            <w:r>
              <w:rPr>
                <w:rFonts w:hint="default" w:ascii="Times New Roman" w:hAnsi="Times New Roman" w:cs="Times New Roman"/>
                <w:bCs/>
                <w:color w:val="auto"/>
                <w:sz w:val="24"/>
                <w:highlight w:val="none"/>
              </w:rPr>
              <w:t>，减少污染物的排放量；根据国家现行相关规范加强环境管理，采取防止和降低污染物跑、冒、漏、滴的措施，及时对老化或损坏的材料进行维修；主动控制即从源头控制措施，主要包括在废水管道，设备，污水储存采取相应措施，防止和降低污染物污水收集、排放管道的滴、漏，将泄漏的环境风险降到最低</w:t>
            </w:r>
            <w:r>
              <w:rPr>
                <w:rFonts w:hint="default" w:ascii="Times New Roman" w:hAnsi="Times New Roman" w:cs="Times New Roman"/>
                <w:bCs/>
                <w:color w:val="auto"/>
                <w:sz w:val="24"/>
                <w:highlight w:val="none"/>
                <w:lang w:eastAsia="zh-CN"/>
              </w:rPr>
              <w:t>。</w:t>
            </w:r>
          </w:p>
          <w:p w14:paraId="290885DA">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分区防渗；根据《环境影响评价技术导则地下水环境》（HJ610-2016），防渗分区原则，为最大限度降低废水的泄漏，防止地下水污染，在总图布置上，严格分区防漏，将本项目划为重点防渗区</w:t>
            </w:r>
            <w:r>
              <w:rPr>
                <w:rFonts w:hint="eastAsia" w:cs="Times New Roman"/>
                <w:bCs/>
                <w:color w:val="auto"/>
                <w:sz w:val="24"/>
                <w:highlight w:val="none"/>
                <w:lang w:eastAsia="zh-CN"/>
              </w:rPr>
              <w:t>、一般防渗区</w:t>
            </w:r>
            <w:r>
              <w:rPr>
                <w:rFonts w:hint="default" w:ascii="Times New Roman" w:hAnsi="Times New Roman" w:cs="Times New Roman"/>
                <w:bCs/>
                <w:color w:val="auto"/>
                <w:sz w:val="24"/>
                <w:highlight w:val="none"/>
              </w:rPr>
              <w:t>和</w:t>
            </w:r>
            <w:r>
              <w:rPr>
                <w:rFonts w:hint="default" w:ascii="Times New Roman" w:hAnsi="Times New Roman" w:cs="Times New Roman"/>
                <w:bCs/>
                <w:color w:val="auto"/>
                <w:sz w:val="24"/>
                <w:highlight w:val="none"/>
                <w:lang w:eastAsia="zh-CN"/>
              </w:rPr>
              <w:t>简单</w:t>
            </w:r>
            <w:r>
              <w:rPr>
                <w:rFonts w:hint="default" w:ascii="Times New Roman" w:hAnsi="Times New Roman" w:cs="Times New Roman"/>
                <w:bCs/>
                <w:color w:val="auto"/>
                <w:sz w:val="24"/>
                <w:highlight w:val="none"/>
              </w:rPr>
              <w:t>防渗区，划分区域如下：</w:t>
            </w:r>
          </w:p>
          <w:p w14:paraId="1A0A45FC">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企业危废库</w:t>
            </w:r>
            <w:r>
              <w:rPr>
                <w:rFonts w:hint="eastAsia" w:cs="Times New Roman"/>
                <w:bCs/>
                <w:color w:val="auto"/>
                <w:sz w:val="24"/>
                <w:highlight w:val="none"/>
                <w:lang w:eastAsia="zh-CN"/>
              </w:rPr>
              <w:t>、喷漆晾干房</w:t>
            </w:r>
            <w:r>
              <w:rPr>
                <w:rFonts w:hint="default" w:ascii="Times New Roman" w:hAnsi="Times New Roman" w:cs="Times New Roman"/>
                <w:bCs/>
                <w:color w:val="auto"/>
                <w:sz w:val="24"/>
                <w:highlight w:val="none"/>
              </w:rPr>
              <w:t>等均应采取重点防渗措施，</w:t>
            </w:r>
            <w:r>
              <w:rPr>
                <w:rFonts w:hint="eastAsia" w:cs="Times New Roman"/>
                <w:bCs/>
                <w:color w:val="auto"/>
                <w:sz w:val="24"/>
                <w:highlight w:val="none"/>
                <w:lang w:eastAsia="zh-CN"/>
              </w:rPr>
              <w:t>生产区、原料</w:t>
            </w:r>
            <w:r>
              <w:rPr>
                <w:rFonts w:hint="default" w:ascii="Times New Roman" w:hAnsi="Times New Roman" w:cs="Times New Roman"/>
                <w:bCs/>
                <w:color w:val="auto"/>
                <w:sz w:val="24"/>
                <w:highlight w:val="none"/>
                <w:lang w:eastAsia="zh-CN"/>
              </w:rPr>
              <w:t>库采取简单防渗措施，</w:t>
            </w:r>
            <w:r>
              <w:rPr>
                <w:rFonts w:hint="default" w:ascii="Times New Roman" w:hAnsi="Times New Roman" w:cs="Times New Roman"/>
                <w:bCs/>
                <w:color w:val="auto"/>
                <w:sz w:val="24"/>
                <w:highlight w:val="none"/>
              </w:rPr>
              <w:t>其他区域采取一般防渗。危废库地面需做重点防渗处理，防渗层为至少1m厚黏土层（渗透系数≤10-7cm/s），或2mm厚高密度聚乙烯，或至少2mm厚的其它人工材料（渗透系数≤10-10cm/s），防渗设计应满足《危险废物贮存污染控制标准》（GB18597-2023）中要求。其他重点防渗区要求防渗层的防渗性能不应低于6.0m厚渗透系数1×10-7cm/s的黏土层的防渗性能；一般防渗区要求防渗层的防渗性能不应低于1.5m厚渗透系数为1×10-7cm/s的黏土层的防渗性能。</w:t>
            </w:r>
          </w:p>
          <w:p w14:paraId="355F4182">
            <w:pPr>
              <w:adjustRightInd w:val="0"/>
              <w:snapToGrid w:val="0"/>
              <w:spacing w:line="360" w:lineRule="auto"/>
              <w:ind w:firstLine="480" w:firstLineChars="2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综上，项目分区防渗区域</w:t>
            </w:r>
            <w:r>
              <w:rPr>
                <w:rFonts w:hint="eastAsia" w:cs="Times New Roman"/>
                <w:bCs/>
                <w:color w:val="auto"/>
                <w:sz w:val="24"/>
                <w:highlight w:val="none"/>
                <w:lang w:eastAsia="zh-CN"/>
              </w:rPr>
              <w:t>措施见</w:t>
            </w:r>
            <w:r>
              <w:rPr>
                <w:rFonts w:hint="default" w:ascii="Times New Roman" w:hAnsi="Times New Roman" w:cs="Times New Roman"/>
                <w:bCs/>
                <w:color w:val="auto"/>
                <w:sz w:val="24"/>
                <w:highlight w:val="none"/>
              </w:rPr>
              <w:t>下表：</w:t>
            </w:r>
          </w:p>
          <w:p w14:paraId="4027BD5A">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表4-1</w:t>
            </w:r>
            <w:r>
              <w:rPr>
                <w:rFonts w:hint="default" w:ascii="Times New Roman" w:hAnsi="Times New Roman" w:cs="Times New Roman"/>
                <w:b/>
                <w:bCs/>
                <w:color w:val="auto"/>
                <w:kern w:val="0"/>
                <w:sz w:val="21"/>
                <w:szCs w:val="21"/>
                <w:highlight w:val="none"/>
                <w:lang w:val="en-US" w:eastAsia="zh-CN" w:bidi="ar"/>
              </w:rPr>
              <w:t>8</w:t>
            </w:r>
            <w:r>
              <w:rPr>
                <w:rFonts w:hint="default" w:ascii="Times New Roman" w:hAnsi="Times New Roman" w:eastAsia="宋体" w:cs="Times New Roman"/>
                <w:b/>
                <w:bCs/>
                <w:color w:val="auto"/>
                <w:kern w:val="0"/>
                <w:sz w:val="21"/>
                <w:szCs w:val="21"/>
                <w:highlight w:val="none"/>
                <w:lang w:val="en-US" w:eastAsia="zh-CN" w:bidi="ar"/>
              </w:rPr>
              <w:t xml:space="preserve">  本项目地下水分区防渗措施一览表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534"/>
              <w:gridCol w:w="4994"/>
            </w:tblGrid>
            <w:tr w14:paraId="5DF9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pct"/>
                  <w:noWrap w:val="0"/>
                  <w:vAlign w:val="center"/>
                </w:tcPr>
                <w:p w14:paraId="3C59BFA9">
                  <w:pPr>
                    <w:pStyle w:val="39"/>
                    <w:spacing w:before="24" w:after="24" w:line="240" w:lineRule="auto"/>
                    <w:rPr>
                      <w:rFonts w:hint="default" w:ascii="Times New Roman" w:hAnsi="Times New Roman" w:eastAsia="宋体" w:cs="Times New Roman"/>
                      <w:b/>
                      <w:bCs/>
                      <w:color w:val="auto"/>
                      <w:szCs w:val="24"/>
                      <w:highlight w:val="none"/>
                      <w:lang w:val="en-US" w:eastAsia="zh-CN"/>
                    </w:rPr>
                  </w:pPr>
                  <w:r>
                    <w:rPr>
                      <w:rFonts w:hint="default" w:ascii="Times New Roman" w:hAnsi="Times New Roman" w:eastAsia="宋体" w:cs="Times New Roman"/>
                      <w:b/>
                      <w:bCs/>
                      <w:color w:val="auto"/>
                      <w:szCs w:val="24"/>
                      <w:highlight w:val="none"/>
                      <w:lang w:val="en-US" w:eastAsia="zh-CN"/>
                    </w:rPr>
                    <w:t>区域划分</w:t>
                  </w:r>
                </w:p>
              </w:tc>
              <w:tc>
                <w:tcPr>
                  <w:tcW w:w="982" w:type="pct"/>
                  <w:noWrap w:val="0"/>
                  <w:vAlign w:val="center"/>
                </w:tcPr>
                <w:p w14:paraId="61C0D237">
                  <w:pPr>
                    <w:pStyle w:val="39"/>
                    <w:spacing w:before="24" w:after="24" w:line="240" w:lineRule="auto"/>
                    <w:rPr>
                      <w:rFonts w:hint="default" w:ascii="Times New Roman" w:hAnsi="Times New Roman" w:eastAsia="宋体" w:cs="Times New Roman"/>
                      <w:b/>
                      <w:bCs/>
                      <w:color w:val="auto"/>
                      <w:szCs w:val="24"/>
                      <w:highlight w:val="none"/>
                      <w:lang w:val="en-US" w:eastAsia="zh-CN"/>
                    </w:rPr>
                  </w:pPr>
                  <w:r>
                    <w:rPr>
                      <w:rFonts w:hint="default" w:ascii="Times New Roman" w:hAnsi="Times New Roman" w:eastAsia="宋体" w:cs="Times New Roman"/>
                      <w:b/>
                      <w:bCs/>
                      <w:color w:val="auto"/>
                      <w:szCs w:val="24"/>
                      <w:highlight w:val="none"/>
                      <w:lang w:val="en-US" w:eastAsia="zh-CN"/>
                    </w:rPr>
                    <w:t>构筑物名称</w:t>
                  </w:r>
                </w:p>
              </w:tc>
              <w:tc>
                <w:tcPr>
                  <w:tcW w:w="3200" w:type="pct"/>
                  <w:noWrap w:val="0"/>
                  <w:vAlign w:val="center"/>
                </w:tcPr>
                <w:p w14:paraId="337B8F78">
                  <w:pPr>
                    <w:pStyle w:val="39"/>
                    <w:spacing w:before="24" w:after="24" w:line="240" w:lineRule="auto"/>
                    <w:rPr>
                      <w:rFonts w:hint="default" w:ascii="Times New Roman" w:hAnsi="Times New Roman" w:eastAsia="宋体" w:cs="Times New Roman"/>
                      <w:b/>
                      <w:bCs/>
                      <w:color w:val="auto"/>
                      <w:szCs w:val="24"/>
                      <w:highlight w:val="none"/>
                      <w:lang w:val="en-US" w:eastAsia="zh-CN"/>
                    </w:rPr>
                  </w:pPr>
                  <w:r>
                    <w:rPr>
                      <w:rFonts w:hint="default" w:ascii="Times New Roman" w:hAnsi="Times New Roman" w:eastAsia="宋体" w:cs="Times New Roman"/>
                      <w:b/>
                      <w:bCs/>
                      <w:color w:val="auto"/>
                      <w:szCs w:val="24"/>
                      <w:highlight w:val="none"/>
                      <w:lang w:val="en-US" w:eastAsia="zh-CN"/>
                    </w:rPr>
                    <w:t>防渗技术要求</w:t>
                  </w:r>
                </w:p>
              </w:tc>
            </w:tr>
            <w:tr w14:paraId="09B8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pct"/>
                  <w:shd w:val="clear" w:color="auto" w:fill="auto"/>
                  <w:noWrap w:val="0"/>
                  <w:vAlign w:val="center"/>
                </w:tcPr>
                <w:p w14:paraId="0E26A7E7">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重点防渗区</w:t>
                  </w:r>
                </w:p>
              </w:tc>
              <w:tc>
                <w:tcPr>
                  <w:tcW w:w="982" w:type="pct"/>
                  <w:shd w:val="clear" w:color="auto" w:fill="auto"/>
                  <w:noWrap w:val="0"/>
                  <w:vAlign w:val="center"/>
                </w:tcPr>
                <w:p w14:paraId="375688B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危废库</w:t>
                  </w:r>
                  <w:r>
                    <w:rPr>
                      <w:rFonts w:hint="eastAsia" w:eastAsia="宋体" w:cs="Times New Roman"/>
                      <w:bCs/>
                      <w:color w:val="auto"/>
                      <w:kern w:val="2"/>
                      <w:sz w:val="21"/>
                      <w:szCs w:val="21"/>
                      <w:highlight w:val="none"/>
                      <w:lang w:val="en-US" w:eastAsia="zh-CN" w:bidi="ar-SA"/>
                    </w:rPr>
                    <w:t>、喷漆晾干房</w:t>
                  </w:r>
                </w:p>
              </w:tc>
              <w:tc>
                <w:tcPr>
                  <w:tcW w:w="3200" w:type="pct"/>
                  <w:shd w:val="clear" w:color="auto" w:fill="auto"/>
                  <w:noWrap w:val="0"/>
                  <w:vAlign w:val="center"/>
                </w:tcPr>
                <w:p w14:paraId="6E665E64">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防渗层为至少1m厚黏土层（渗透系数≤10-7cm/s），或2mm厚高密度聚乙烯，或至少2mm厚的其它人工材料（渗透系数≤10-10cm/s），防渗设计应满足《危险废物贮存污染控制标准》（GB18597-2023）中要求收集。</w:t>
                  </w:r>
                </w:p>
              </w:tc>
            </w:tr>
            <w:tr w14:paraId="42ED5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pct"/>
                  <w:shd w:val="clear" w:color="auto" w:fill="auto"/>
                  <w:noWrap w:val="0"/>
                  <w:vAlign w:val="center"/>
                </w:tcPr>
                <w:p w14:paraId="0129F2A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一般防渗区</w:t>
                  </w:r>
                </w:p>
              </w:tc>
              <w:tc>
                <w:tcPr>
                  <w:tcW w:w="982" w:type="pct"/>
                  <w:shd w:val="clear" w:color="auto" w:fill="auto"/>
                  <w:noWrap w:val="0"/>
                  <w:vAlign w:val="center"/>
                </w:tcPr>
                <w:p w14:paraId="10A80115">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eastAsia" w:eastAsia="宋体" w:cs="Times New Roman"/>
                      <w:bCs/>
                      <w:color w:val="auto"/>
                      <w:kern w:val="2"/>
                      <w:sz w:val="21"/>
                      <w:szCs w:val="21"/>
                      <w:highlight w:val="none"/>
                      <w:lang w:val="en-US" w:eastAsia="zh-CN" w:bidi="ar-SA"/>
                    </w:rPr>
                    <w:t>生产区、原料库</w:t>
                  </w:r>
                </w:p>
              </w:tc>
              <w:tc>
                <w:tcPr>
                  <w:tcW w:w="3200" w:type="pct"/>
                  <w:shd w:val="clear" w:color="auto" w:fill="auto"/>
                  <w:noWrap w:val="0"/>
                  <w:vAlign w:val="center"/>
                </w:tcPr>
                <w:p w14:paraId="5F7D104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对地面进行防腐防渗，采用1.5mm厚高密度聚乙烯或其他渗透系数不大于1×10-7cm/s的人工防渗材料结构层，防渗技术要求满足等效黏土防渗层Mb≥1.5m，K≤1×10-7cm/s。</w:t>
                  </w:r>
                </w:p>
              </w:tc>
            </w:tr>
            <w:tr w14:paraId="3048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shd w:val="clear" w:color="auto" w:fill="auto"/>
                  <w:vAlign w:val="center"/>
                </w:tcPr>
                <w:p w14:paraId="444915D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简单防渗区</w:t>
                  </w:r>
                </w:p>
              </w:tc>
              <w:tc>
                <w:tcPr>
                  <w:tcW w:w="0" w:type="auto"/>
                  <w:shd w:val="clear" w:color="auto" w:fill="auto"/>
                  <w:vAlign w:val="center"/>
                </w:tcPr>
                <w:p w14:paraId="594D09AD">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办公区等</w:t>
                  </w:r>
                </w:p>
              </w:tc>
              <w:tc>
                <w:tcPr>
                  <w:tcW w:w="0" w:type="auto"/>
                  <w:shd w:val="clear" w:color="auto" w:fill="auto"/>
                  <w:vAlign w:val="center"/>
                </w:tcPr>
                <w:p w14:paraId="53B8941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地面进行一般硬化处理</w:t>
                  </w:r>
                </w:p>
              </w:tc>
            </w:tr>
          </w:tbl>
          <w:p w14:paraId="12B645EC">
            <w:pPr>
              <w:pStyle w:val="67"/>
              <w:keepNext w:val="0"/>
              <w:keepLines w:val="0"/>
              <w:pageBreakBefore w:val="0"/>
              <w:kinsoku/>
              <w:wordWrap/>
              <w:overflowPunct/>
              <w:topLinePunct w:val="0"/>
              <w:bidi w:val="0"/>
              <w:adjustRightInd/>
              <w:snapToGrid/>
              <w:spacing w:line="360" w:lineRule="auto"/>
              <w:ind w:firstLine="480"/>
              <w:contextualSpacing/>
              <w:textAlignment w:val="auto"/>
              <w:rPr>
                <w:rFonts w:hint="default" w:ascii="Times New Roman" w:hAnsi="Times New Roman" w:cs="Times New Roman"/>
                <w:lang w:val="en-US" w:eastAsia="zh-CN"/>
              </w:rPr>
            </w:pPr>
            <w:r>
              <w:rPr>
                <w:rFonts w:hint="default" w:ascii="Times New Roman" w:hAnsi="Times New Roman" w:cs="Times New Roman"/>
                <w:color w:val="auto"/>
                <w:sz w:val="24"/>
                <w:szCs w:val="21"/>
              </w:rPr>
              <w:t>由污染途径及对应措施分析可知，拟建工程对可能产生土壤影响的各项途径均进行有效预防，在确保各项防渗措施得以落实，并加强维护和厂区环境管理的前提下，可有效控制厂区内的废水污染物下渗现象，避免污染土壤，因此拟建工程不</w:t>
            </w:r>
            <w:r>
              <w:rPr>
                <w:rFonts w:hint="eastAsia" w:cs="Times New Roman"/>
                <w:color w:val="auto"/>
                <w:sz w:val="24"/>
                <w:szCs w:val="21"/>
                <w:lang w:eastAsia="zh-CN"/>
              </w:rPr>
              <w:t>会对</w:t>
            </w:r>
            <w:r>
              <w:rPr>
                <w:rFonts w:hint="default" w:ascii="Times New Roman" w:hAnsi="Times New Roman" w:cs="Times New Roman"/>
                <w:color w:val="auto"/>
                <w:sz w:val="24"/>
                <w:szCs w:val="21"/>
              </w:rPr>
              <w:t>区域土壤环境产生明显影响。</w:t>
            </w:r>
          </w:p>
          <w:p w14:paraId="184E6B2F">
            <w:pPr>
              <w:adjustRightInd w:val="0"/>
              <w:snapToGrid w:val="0"/>
              <w:spacing w:line="360" w:lineRule="auto"/>
              <w:rPr>
                <w:rFonts w:hint="default" w:ascii="Times New Roman" w:hAnsi="Times New Roman" w:cs="Times New Roman"/>
                <w:b/>
                <w:bCs/>
                <w:color w:val="auto"/>
                <w:sz w:val="24"/>
                <w:highlight w:val="none"/>
              </w:rPr>
            </w:pPr>
          </w:p>
          <w:p w14:paraId="4E4785F2">
            <w:pPr>
              <w:adjustRightInd w:val="0"/>
              <w:snapToGrid w:val="0"/>
              <w:spacing w:line="360" w:lineRule="auto"/>
              <w:rPr>
                <w:rFonts w:hint="default" w:ascii="Times New Roman" w:hAnsi="Times New Roman" w:cs="Times New Roman"/>
                <w:b/>
                <w:bCs/>
                <w:color w:val="auto"/>
                <w:sz w:val="24"/>
                <w:highlight w:val="none"/>
              </w:rPr>
            </w:pPr>
            <w:bookmarkStart w:id="89" w:name="_GoBack"/>
            <w:bookmarkEnd w:id="89"/>
            <w:r>
              <w:rPr>
                <w:rFonts w:hint="default" w:ascii="Times New Roman" w:hAnsi="Times New Roman" w:cs="Times New Roman"/>
                <w:b/>
                <w:bCs/>
                <w:color w:val="auto"/>
                <w:sz w:val="24"/>
                <w:highlight w:val="none"/>
              </w:rPr>
              <w:t>六、环境风险分析</w:t>
            </w:r>
          </w:p>
          <w:p w14:paraId="604E6B49">
            <w:pPr>
              <w:ind w:firstLine="480"/>
              <w:rPr>
                <w:rFonts w:hint="default" w:ascii="Times New Roman" w:hAnsi="Times New Roman" w:cs="Times New Roman"/>
                <w:color w:val="auto"/>
                <w:highlight w:val="none"/>
              </w:rPr>
            </w:pPr>
            <w:r>
              <w:rPr>
                <w:rFonts w:hint="default" w:ascii="Times New Roman" w:hAnsi="Times New Roman" w:cs="Times New Roman"/>
                <w:bCs/>
                <w:color w:val="auto"/>
                <w:sz w:val="24"/>
                <w:highlight w:val="none"/>
              </w:rPr>
              <w:t>环境风险评价的目的是分析和预测建设项目存在的潜在危险、有害因素，建设项目建设和运行期间可能发生的突发性时间或事故，引起有毒有害和易燃易爆等物质的泄漏所造成的人身安全与环境影响和损害程度。提出合理可行的防范、应急与减缓措施，以使建设项目的事故率、损失和环境影响达到可接受的水平。</w:t>
            </w:r>
          </w:p>
          <w:p w14:paraId="6C0A29E1">
            <w:pPr>
              <w:adjustRightInd w:val="0"/>
              <w:snapToGrid w:val="0"/>
              <w:spacing w:line="360" w:lineRule="auto"/>
              <w:ind w:firstLine="482"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1、风险识别</w:t>
            </w:r>
          </w:p>
          <w:p w14:paraId="0E234FF3">
            <w:pPr>
              <w:adjustRightInd w:val="0"/>
              <w:snapToGrid w:val="0"/>
              <w:spacing w:line="360" w:lineRule="auto"/>
              <w:ind w:firstLine="482"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（1）风险物质识别、风险潜势初判</w:t>
            </w:r>
          </w:p>
          <w:p w14:paraId="78FD2CB7">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对全厂涉及物料的毒性、危险性和易燃易爆性进行分析，其中，物料毒性和危险性主要判定依据为《建设项目环境风险评价技术导则》（HJ169-2018）附录B中重点关注的危险物质。</w:t>
            </w:r>
          </w:p>
          <w:p w14:paraId="16E5B8C8">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本项目各物料理化性质，根据本项目所用物料与《建设项目环境风险评价技术导则》（HJ 169-2018）附录B中重点关注的危险物质进行对比，本项目重点关注的危险物质为废活性炭。</w:t>
            </w:r>
          </w:p>
          <w:p w14:paraId="3D3F32D4">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计算所涉及的每种危险物质在厂界内的最大存在总量与其在附录B中对应临界量的比值Q。在不同厂区的同一种物质，按其在厂界内的最大存在总量计算。对于长输管线项目，按照两个截断阀室之间管段危险物质最大存在总量计算。当只涉及一种危险物质时，计算该物质的总量与其临界量比值，即为Q；当存在多种危险物质时，则按式(C.1)计算物质总量与其临界量比值(Q)：</w:t>
            </w:r>
          </w:p>
          <w:p w14:paraId="31A1EF35">
            <w:pPr>
              <w:adjustRightInd w:val="0"/>
              <w:snapToGrid w:val="0"/>
              <w:spacing w:line="360" w:lineRule="auto"/>
              <w:ind w:firstLine="480" w:firstLineChars="200"/>
              <w:jc w:val="center"/>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2972435" cy="498475"/>
                  <wp:effectExtent l="0" t="0" r="18415" b="15875"/>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35"/>
                          <a:stretch>
                            <a:fillRect/>
                          </a:stretch>
                        </pic:blipFill>
                        <pic:spPr>
                          <a:xfrm>
                            <a:off x="0" y="0"/>
                            <a:ext cx="2972435" cy="498475"/>
                          </a:xfrm>
                          <a:prstGeom prst="rect">
                            <a:avLst/>
                          </a:prstGeom>
                          <a:noFill/>
                          <a:ln>
                            <a:noFill/>
                          </a:ln>
                        </pic:spPr>
                      </pic:pic>
                    </a:graphicData>
                  </a:graphic>
                </wp:inline>
              </w:drawing>
            </w:r>
          </w:p>
          <w:p w14:paraId="3EBB580E">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式中：</w:t>
            </w:r>
          </w:p>
          <w:p w14:paraId="2F27CB42">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q1，q2，…，qn——每种危险物质的最大存在总量，t；</w:t>
            </w:r>
          </w:p>
          <w:p w14:paraId="2B27466A">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Q1，Q2，…，Qn——每种危险物质的临界量，t。</w:t>
            </w:r>
          </w:p>
          <w:p w14:paraId="73282F8B">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当Q&lt;1时，该项目环境风险潜势为I。当Q≥1时，将Q值划分为：(1)1≤Q&lt;10；(2)10≤Q&lt;100；(3)Q≥100。</w:t>
            </w:r>
          </w:p>
          <w:p w14:paraId="5CD8F7FC">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本项目重大危险源辨识情况如下表所示。</w:t>
            </w:r>
          </w:p>
          <w:p w14:paraId="7F7A908F">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w:t>
            </w:r>
            <w:r>
              <w:rPr>
                <w:rFonts w:hint="default" w:ascii="Times New Roman" w:hAnsi="Times New Roman" w:cs="Times New Roman"/>
                <w:b/>
                <w:bCs/>
                <w:color w:val="auto"/>
                <w:kern w:val="0"/>
                <w:sz w:val="21"/>
                <w:szCs w:val="21"/>
                <w:highlight w:val="none"/>
                <w:lang w:val="en-US" w:eastAsia="zh-CN" w:bidi="ar"/>
              </w:rPr>
              <w:t>19</w:t>
            </w:r>
            <w:r>
              <w:rPr>
                <w:rFonts w:hint="default" w:ascii="Times New Roman" w:hAnsi="Times New Roman" w:eastAsia="宋体" w:cs="Times New Roman"/>
                <w:b/>
                <w:bCs/>
                <w:color w:val="auto"/>
                <w:kern w:val="0"/>
                <w:sz w:val="21"/>
                <w:szCs w:val="21"/>
                <w:highlight w:val="none"/>
                <w:lang w:val="en-US" w:eastAsia="zh-CN" w:bidi="ar"/>
              </w:rPr>
              <w:t xml:space="preserve">  本项目风险物质汇总</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19"/>
              <w:gridCol w:w="2249"/>
              <w:gridCol w:w="1459"/>
              <w:gridCol w:w="2370"/>
            </w:tblGrid>
            <w:tr w14:paraId="558D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102" w:type="pct"/>
                  <w:tcBorders>
                    <w:top w:val="single" w:color="auto" w:sz="4" w:space="0"/>
                    <w:left w:val="single" w:color="auto" w:sz="4" w:space="0"/>
                    <w:bottom w:val="single" w:color="auto" w:sz="4" w:space="0"/>
                    <w:right w:val="single" w:color="auto" w:sz="4" w:space="0"/>
                  </w:tcBorders>
                  <w:noWrap w:val="0"/>
                  <w:vAlign w:val="center"/>
                </w:tcPr>
                <w:p w14:paraId="0A6F1E8B">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危险物质名称</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78460F11">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厂区最大存在量（t）</w:t>
                  </w:r>
                </w:p>
              </w:tc>
              <w:tc>
                <w:tcPr>
                  <w:tcW w:w="934" w:type="pct"/>
                  <w:tcBorders>
                    <w:top w:val="single" w:color="auto" w:sz="4" w:space="0"/>
                    <w:left w:val="single" w:color="auto" w:sz="4" w:space="0"/>
                    <w:bottom w:val="single" w:color="auto" w:sz="4" w:space="0"/>
                    <w:right w:val="single" w:color="auto" w:sz="4" w:space="0"/>
                  </w:tcBorders>
                  <w:noWrap w:val="0"/>
                  <w:vAlign w:val="center"/>
                </w:tcPr>
                <w:p w14:paraId="22EFF806">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临界量（t）</w:t>
                  </w:r>
                </w:p>
              </w:tc>
              <w:tc>
                <w:tcPr>
                  <w:tcW w:w="1520" w:type="pct"/>
                  <w:tcBorders>
                    <w:top w:val="single" w:color="auto" w:sz="4" w:space="0"/>
                    <w:left w:val="single" w:color="auto" w:sz="4" w:space="0"/>
                    <w:bottom w:val="single" w:color="auto" w:sz="4" w:space="0"/>
                    <w:right w:val="single" w:color="auto" w:sz="4" w:space="0"/>
                  </w:tcBorders>
                  <w:noWrap w:val="0"/>
                  <w:vAlign w:val="center"/>
                </w:tcPr>
                <w:p w14:paraId="56FBE07E">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该种危险物质Q值</w:t>
                  </w:r>
                </w:p>
              </w:tc>
            </w:tr>
            <w:tr w14:paraId="02B7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1102" w:type="pct"/>
                  <w:noWrap w:val="0"/>
                  <w:vAlign w:val="center"/>
                </w:tcPr>
                <w:p w14:paraId="5B0D184E">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废活性炭</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396E1B6">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eastAsia" w:cs="Times New Roman"/>
                      <w:bCs/>
                      <w:color w:val="auto"/>
                      <w:kern w:val="2"/>
                      <w:sz w:val="21"/>
                      <w:szCs w:val="21"/>
                      <w:highlight w:val="none"/>
                      <w:lang w:val="en-US" w:eastAsia="zh-CN" w:bidi="ar-SA"/>
                    </w:rPr>
                    <w:t>3</w:t>
                  </w:r>
                </w:p>
              </w:tc>
              <w:tc>
                <w:tcPr>
                  <w:tcW w:w="934" w:type="pct"/>
                  <w:tcBorders>
                    <w:top w:val="single" w:color="auto" w:sz="4" w:space="0"/>
                    <w:left w:val="single" w:color="auto" w:sz="4" w:space="0"/>
                    <w:bottom w:val="single" w:color="auto" w:sz="4" w:space="0"/>
                    <w:right w:val="single" w:color="auto" w:sz="4" w:space="0"/>
                  </w:tcBorders>
                  <w:noWrap w:val="0"/>
                  <w:vAlign w:val="center"/>
                </w:tcPr>
                <w:p w14:paraId="00922945">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50</w:t>
                  </w:r>
                </w:p>
              </w:tc>
              <w:tc>
                <w:tcPr>
                  <w:tcW w:w="1520" w:type="pct"/>
                  <w:tcBorders>
                    <w:top w:val="single" w:color="auto" w:sz="4" w:space="0"/>
                    <w:left w:val="single" w:color="auto" w:sz="4" w:space="0"/>
                    <w:bottom w:val="single" w:color="auto" w:sz="4" w:space="0"/>
                    <w:right w:val="single" w:color="auto" w:sz="4" w:space="0"/>
                  </w:tcBorders>
                  <w:noWrap w:val="0"/>
                  <w:vAlign w:val="center"/>
                </w:tcPr>
                <w:p w14:paraId="1E9875D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0.0</w:t>
                  </w:r>
                  <w:r>
                    <w:rPr>
                      <w:rFonts w:hint="eastAsia" w:cs="Times New Roman"/>
                      <w:bCs/>
                      <w:color w:val="auto"/>
                      <w:kern w:val="2"/>
                      <w:sz w:val="21"/>
                      <w:szCs w:val="21"/>
                      <w:highlight w:val="none"/>
                      <w:lang w:val="en-US" w:eastAsia="zh-CN" w:bidi="ar-SA"/>
                    </w:rPr>
                    <w:t>6</w:t>
                  </w:r>
                </w:p>
              </w:tc>
            </w:tr>
            <w:tr w14:paraId="66F8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3479" w:type="pct"/>
                  <w:gridSpan w:val="3"/>
                  <w:tcBorders>
                    <w:right w:val="single" w:color="auto" w:sz="4" w:space="0"/>
                  </w:tcBorders>
                  <w:noWrap w:val="0"/>
                  <w:vAlign w:val="center"/>
                </w:tcPr>
                <w:p w14:paraId="5A9EF768">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合计</w:t>
                  </w:r>
                </w:p>
              </w:tc>
              <w:tc>
                <w:tcPr>
                  <w:tcW w:w="1520" w:type="pct"/>
                  <w:tcBorders>
                    <w:top w:val="single" w:color="auto" w:sz="4" w:space="0"/>
                    <w:left w:val="single" w:color="auto" w:sz="4" w:space="0"/>
                    <w:bottom w:val="single" w:color="auto" w:sz="4" w:space="0"/>
                    <w:right w:val="single" w:color="auto" w:sz="4" w:space="0"/>
                  </w:tcBorders>
                  <w:noWrap w:val="0"/>
                  <w:vAlign w:val="center"/>
                </w:tcPr>
                <w:p w14:paraId="194CA20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0.0</w:t>
                  </w:r>
                  <w:r>
                    <w:rPr>
                      <w:rFonts w:hint="eastAsia" w:cs="Times New Roman"/>
                      <w:bCs/>
                      <w:color w:val="auto"/>
                      <w:kern w:val="2"/>
                      <w:sz w:val="21"/>
                      <w:szCs w:val="21"/>
                      <w:highlight w:val="none"/>
                      <w:lang w:val="en-US" w:eastAsia="zh-CN" w:bidi="ar-SA"/>
                    </w:rPr>
                    <w:t>6</w:t>
                  </w:r>
                </w:p>
              </w:tc>
            </w:tr>
          </w:tbl>
          <w:p w14:paraId="32D6AEDC">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由上表可知Q=</w:t>
            </w:r>
            <w:r>
              <w:rPr>
                <w:rFonts w:hint="default" w:ascii="Times New Roman" w:hAnsi="Times New Roman" w:eastAsia="宋体" w:cs="Times New Roman"/>
                <w:bCs/>
                <w:color w:val="auto"/>
                <w:sz w:val="24"/>
                <w:highlight w:val="none"/>
                <w:lang w:val="en-US" w:eastAsia="zh-CN"/>
              </w:rPr>
              <w:t>0.0</w:t>
            </w:r>
            <w:r>
              <w:rPr>
                <w:rFonts w:hint="eastAsia" w:cs="Times New Roman"/>
                <w:bCs/>
                <w:color w:val="auto"/>
                <w:sz w:val="24"/>
                <w:highlight w:val="none"/>
                <w:lang w:val="en-US" w:eastAsia="zh-CN"/>
              </w:rPr>
              <w:t>6</w:t>
            </w:r>
            <w:r>
              <w:rPr>
                <w:rFonts w:hint="default" w:ascii="Times New Roman" w:hAnsi="Times New Roman" w:eastAsia="宋体" w:cs="Times New Roman"/>
                <w:bCs/>
                <w:color w:val="auto"/>
                <w:sz w:val="24"/>
                <w:highlight w:val="none"/>
              </w:rPr>
              <w:t>＜1，根据《建设项目环境风险评价技术导则》（HJ169-2018）附录C，本项目Q＜1，则本项目风险潜势为I。</w:t>
            </w:r>
          </w:p>
          <w:p w14:paraId="14043586">
            <w:pPr>
              <w:numPr>
                <w:ilvl w:val="0"/>
                <w:numId w:val="9"/>
              </w:numPr>
              <w:adjustRightInd w:val="0"/>
              <w:snapToGrid w:val="0"/>
              <w:spacing w:line="360" w:lineRule="auto"/>
              <w:ind w:firstLine="482"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可能影响途径</w:t>
            </w:r>
          </w:p>
          <w:p w14:paraId="746B87D4">
            <w:pPr>
              <w:keepNext w:val="0"/>
              <w:keepLines w:val="0"/>
              <w:widowControl/>
              <w:suppressLineNumbers w:val="0"/>
              <w:spacing w:line="240" w:lineRule="auto"/>
              <w:ind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表4-2</w:t>
            </w:r>
            <w:r>
              <w:rPr>
                <w:rFonts w:hint="default" w:ascii="Times New Roman" w:hAnsi="Times New Roman" w:cs="Times New Roman"/>
                <w:b/>
                <w:bCs/>
                <w:color w:val="auto"/>
                <w:kern w:val="0"/>
                <w:sz w:val="21"/>
                <w:szCs w:val="21"/>
                <w:highlight w:val="none"/>
                <w:lang w:val="en-US" w:eastAsia="zh-CN" w:bidi="ar"/>
              </w:rPr>
              <w:t>0</w:t>
            </w:r>
            <w:r>
              <w:rPr>
                <w:rFonts w:hint="default" w:ascii="Times New Roman" w:hAnsi="Times New Roman" w:eastAsia="宋体" w:cs="Times New Roman"/>
                <w:b/>
                <w:bCs/>
                <w:color w:val="auto"/>
                <w:kern w:val="0"/>
                <w:sz w:val="21"/>
                <w:szCs w:val="21"/>
                <w:highlight w:val="none"/>
                <w:lang w:val="en-US" w:eastAsia="zh-CN" w:bidi="ar"/>
              </w:rPr>
              <w:t xml:space="preserve">  本项目环境风险可能影响途径</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71"/>
              <w:gridCol w:w="1002"/>
              <w:gridCol w:w="712"/>
              <w:gridCol w:w="1399"/>
              <w:gridCol w:w="3083"/>
            </w:tblGrid>
            <w:tr w14:paraId="5924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tcBorders>
                    <w:top w:val="single" w:color="auto" w:sz="4" w:space="0"/>
                    <w:left w:val="single" w:color="auto" w:sz="4" w:space="0"/>
                    <w:bottom w:val="single" w:color="auto" w:sz="4" w:space="0"/>
                    <w:right w:val="single" w:color="auto" w:sz="4" w:space="0"/>
                  </w:tcBorders>
                  <w:noWrap w:val="0"/>
                  <w:vAlign w:val="center"/>
                </w:tcPr>
                <w:p w14:paraId="2FB867BF">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危险单元</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59D52FE9">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风险源</w:t>
                  </w:r>
                </w:p>
              </w:tc>
              <w:tc>
                <w:tcPr>
                  <w:tcW w:w="642" w:type="pct"/>
                  <w:tcBorders>
                    <w:top w:val="single" w:color="auto" w:sz="4" w:space="0"/>
                    <w:left w:val="single" w:color="auto" w:sz="4" w:space="0"/>
                    <w:bottom w:val="single" w:color="auto" w:sz="4" w:space="0"/>
                    <w:right w:val="single" w:color="auto" w:sz="4" w:space="0"/>
                  </w:tcBorders>
                  <w:noWrap w:val="0"/>
                  <w:vAlign w:val="center"/>
                </w:tcPr>
                <w:p w14:paraId="58474867">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环境风险类型</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18E4BCB1">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危险物质</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09141C39">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转移途径</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06C75368">
                  <w:pPr>
                    <w:widowControl w:val="0"/>
                    <w:adjustRightInd w:val="0"/>
                    <w:snapToGrid w:val="0"/>
                    <w:spacing w:line="240" w:lineRule="auto"/>
                    <w:ind w:firstLine="0" w:firstLineChars="0"/>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影响方式</w:t>
                  </w:r>
                </w:p>
              </w:tc>
            </w:tr>
            <w:tr w14:paraId="1CFF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vMerge w:val="restart"/>
                  <w:tcBorders>
                    <w:top w:val="single" w:color="auto" w:sz="4" w:space="0"/>
                    <w:left w:val="single" w:color="auto" w:sz="4" w:space="0"/>
                    <w:bottom w:val="single" w:color="auto" w:sz="4" w:space="0"/>
                    <w:right w:val="single" w:color="auto" w:sz="4" w:space="0"/>
                  </w:tcBorders>
                  <w:noWrap w:val="0"/>
                  <w:vAlign w:val="center"/>
                </w:tcPr>
                <w:p w14:paraId="62B49181">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危废库、废活性炭、</w:t>
                  </w:r>
                  <w:r>
                    <w:rPr>
                      <w:rFonts w:hint="default" w:ascii="Times New Roman" w:hAnsi="Times New Roman" w:cs="Times New Roman"/>
                      <w:bCs/>
                      <w:color w:val="auto"/>
                      <w:kern w:val="2"/>
                      <w:sz w:val="21"/>
                      <w:szCs w:val="21"/>
                      <w:highlight w:val="none"/>
                      <w:lang w:val="en-US" w:eastAsia="zh-CN" w:bidi="ar-SA"/>
                    </w:rPr>
                    <w:t>废润滑油</w:t>
                  </w:r>
                  <w:r>
                    <w:rPr>
                      <w:rFonts w:hint="default" w:ascii="Times New Roman" w:hAnsi="Times New Roman" w:eastAsia="宋体" w:cs="Times New Roman"/>
                      <w:bCs/>
                      <w:color w:val="auto"/>
                      <w:kern w:val="2"/>
                      <w:sz w:val="21"/>
                      <w:szCs w:val="21"/>
                      <w:highlight w:val="none"/>
                      <w:lang w:val="en-US" w:eastAsia="zh-CN" w:bidi="ar-SA"/>
                    </w:rPr>
                    <w:t>存放区、废油桶、生产区</w:t>
                  </w:r>
                </w:p>
              </w:tc>
              <w:tc>
                <w:tcPr>
                  <w:tcW w:w="558" w:type="pct"/>
                  <w:vMerge w:val="restart"/>
                  <w:tcBorders>
                    <w:top w:val="single" w:color="auto" w:sz="4" w:space="0"/>
                    <w:left w:val="single" w:color="auto" w:sz="4" w:space="0"/>
                    <w:bottom w:val="single" w:color="auto" w:sz="4" w:space="0"/>
                    <w:right w:val="single" w:color="auto" w:sz="4" w:space="0"/>
                  </w:tcBorders>
                  <w:noWrap w:val="0"/>
                  <w:vAlign w:val="center"/>
                </w:tcPr>
                <w:p w14:paraId="34920C8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装卸/储存</w:t>
                  </w:r>
                </w:p>
              </w:tc>
              <w:tc>
                <w:tcPr>
                  <w:tcW w:w="642" w:type="pct"/>
                  <w:vMerge w:val="restart"/>
                  <w:tcBorders>
                    <w:top w:val="single" w:color="auto" w:sz="4" w:space="0"/>
                    <w:left w:val="single" w:color="auto" w:sz="4" w:space="0"/>
                    <w:bottom w:val="single" w:color="auto" w:sz="4" w:space="0"/>
                    <w:right w:val="single" w:color="auto" w:sz="4" w:space="0"/>
                  </w:tcBorders>
                  <w:noWrap w:val="0"/>
                  <w:vAlign w:val="center"/>
                </w:tcPr>
                <w:p w14:paraId="7612508D">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泄漏</w:t>
                  </w:r>
                </w:p>
              </w:tc>
              <w:tc>
                <w:tcPr>
                  <w:tcW w:w="456" w:type="pct"/>
                  <w:vMerge w:val="restart"/>
                  <w:tcBorders>
                    <w:top w:val="single" w:color="auto" w:sz="4" w:space="0"/>
                    <w:left w:val="single" w:color="auto" w:sz="4" w:space="0"/>
                    <w:bottom w:val="single" w:color="auto" w:sz="4" w:space="0"/>
                    <w:right w:val="single" w:color="auto" w:sz="4" w:space="0"/>
                  </w:tcBorders>
                  <w:noWrap w:val="0"/>
                  <w:vAlign w:val="center"/>
                </w:tcPr>
                <w:p w14:paraId="26BE2C1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废活性炭、</w:t>
                  </w:r>
                  <w:r>
                    <w:rPr>
                      <w:rFonts w:hint="default" w:ascii="Times New Roman" w:hAnsi="Times New Roman" w:cs="Times New Roman"/>
                      <w:bCs/>
                      <w:color w:val="auto"/>
                      <w:kern w:val="2"/>
                      <w:sz w:val="21"/>
                      <w:szCs w:val="21"/>
                      <w:highlight w:val="none"/>
                      <w:lang w:val="en-US" w:eastAsia="zh-CN" w:bidi="ar-SA"/>
                    </w:rPr>
                    <w:t>废润滑油</w:t>
                  </w:r>
                  <w:r>
                    <w:rPr>
                      <w:rFonts w:hint="default" w:ascii="Times New Roman" w:hAnsi="Times New Roman" w:eastAsia="宋体" w:cs="Times New Roman"/>
                      <w:bCs/>
                      <w:color w:val="auto"/>
                      <w:kern w:val="2"/>
                      <w:sz w:val="21"/>
                      <w:szCs w:val="21"/>
                      <w:highlight w:val="none"/>
                      <w:lang w:val="en-US" w:eastAsia="zh-CN" w:bidi="ar-SA"/>
                    </w:rPr>
                    <w:t>、废油桶</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590596E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泄漏物料通过雨水管网进入地表水</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421A1D08">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液态泄漏物质经雨水管线和水系最终进入地表河流，对河流水质造成不良影响</w:t>
                  </w:r>
                </w:p>
              </w:tc>
            </w:tr>
            <w:tr w14:paraId="0D92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vMerge w:val="continue"/>
                  <w:tcBorders>
                    <w:top w:val="single" w:color="auto" w:sz="4" w:space="0"/>
                    <w:left w:val="single" w:color="auto" w:sz="4" w:space="0"/>
                    <w:bottom w:val="single" w:color="auto" w:sz="4" w:space="0"/>
                    <w:right w:val="single" w:color="auto" w:sz="4" w:space="0"/>
                  </w:tcBorders>
                  <w:noWrap w:val="0"/>
                  <w:vAlign w:val="center"/>
                </w:tcPr>
                <w:p w14:paraId="056986AE">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558" w:type="pct"/>
                  <w:vMerge w:val="continue"/>
                  <w:tcBorders>
                    <w:top w:val="single" w:color="auto" w:sz="4" w:space="0"/>
                    <w:left w:val="single" w:color="auto" w:sz="4" w:space="0"/>
                    <w:bottom w:val="single" w:color="auto" w:sz="4" w:space="0"/>
                    <w:right w:val="single" w:color="auto" w:sz="4" w:space="0"/>
                  </w:tcBorders>
                  <w:noWrap w:val="0"/>
                  <w:vAlign w:val="center"/>
                </w:tcPr>
                <w:p w14:paraId="05AF89F6">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642" w:type="pct"/>
                  <w:vMerge w:val="continue"/>
                  <w:tcBorders>
                    <w:top w:val="single" w:color="auto" w:sz="4" w:space="0"/>
                    <w:left w:val="single" w:color="auto" w:sz="4" w:space="0"/>
                    <w:bottom w:val="single" w:color="auto" w:sz="4" w:space="0"/>
                    <w:right w:val="single" w:color="auto" w:sz="4" w:space="0"/>
                  </w:tcBorders>
                  <w:noWrap w:val="0"/>
                  <w:vAlign w:val="center"/>
                </w:tcPr>
                <w:p w14:paraId="2F0EA800">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456" w:type="pct"/>
                  <w:vMerge w:val="continue"/>
                  <w:tcBorders>
                    <w:top w:val="single" w:color="auto" w:sz="4" w:space="0"/>
                    <w:left w:val="single" w:color="auto" w:sz="4" w:space="0"/>
                    <w:bottom w:val="single" w:color="auto" w:sz="4" w:space="0"/>
                    <w:right w:val="single" w:color="auto" w:sz="4" w:space="0"/>
                  </w:tcBorders>
                  <w:noWrap w:val="0"/>
                  <w:vAlign w:val="center"/>
                </w:tcPr>
                <w:p w14:paraId="71EEE49A">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896" w:type="pct"/>
                  <w:tcBorders>
                    <w:top w:val="single" w:color="auto" w:sz="4" w:space="0"/>
                    <w:left w:val="single" w:color="auto" w:sz="4" w:space="0"/>
                    <w:bottom w:val="single" w:color="auto" w:sz="4" w:space="0"/>
                    <w:right w:val="single" w:color="auto" w:sz="4" w:space="0"/>
                  </w:tcBorders>
                  <w:noWrap w:val="0"/>
                  <w:vAlign w:val="center"/>
                </w:tcPr>
                <w:p w14:paraId="2F378C6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泄漏物料下渗经入土壤和地下水</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55D8B6EB">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液态泄漏物质通过未经防腐防渗的地面进入土壤，进而进入地下水中，从而对土壤环境和地下水环境造成影响。</w:t>
                  </w:r>
                </w:p>
              </w:tc>
            </w:tr>
            <w:tr w14:paraId="3645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vMerge w:val="continue"/>
                  <w:tcBorders>
                    <w:top w:val="single" w:color="auto" w:sz="4" w:space="0"/>
                    <w:left w:val="single" w:color="auto" w:sz="4" w:space="0"/>
                    <w:bottom w:val="single" w:color="auto" w:sz="4" w:space="0"/>
                    <w:right w:val="single" w:color="auto" w:sz="4" w:space="0"/>
                  </w:tcBorders>
                  <w:noWrap w:val="0"/>
                  <w:vAlign w:val="center"/>
                </w:tcPr>
                <w:p w14:paraId="4B7634A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558" w:type="pct"/>
                  <w:vMerge w:val="continue"/>
                  <w:tcBorders>
                    <w:top w:val="single" w:color="auto" w:sz="4" w:space="0"/>
                    <w:left w:val="single" w:color="auto" w:sz="4" w:space="0"/>
                    <w:bottom w:val="single" w:color="auto" w:sz="4" w:space="0"/>
                    <w:right w:val="single" w:color="auto" w:sz="4" w:space="0"/>
                  </w:tcBorders>
                  <w:noWrap w:val="0"/>
                  <w:vAlign w:val="center"/>
                </w:tcPr>
                <w:p w14:paraId="140A7EF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642" w:type="pct"/>
                  <w:vMerge w:val="restart"/>
                  <w:tcBorders>
                    <w:top w:val="single" w:color="auto" w:sz="4" w:space="0"/>
                    <w:left w:val="single" w:color="auto" w:sz="4" w:space="0"/>
                    <w:bottom w:val="single" w:color="auto" w:sz="4" w:space="0"/>
                    <w:right w:val="single" w:color="auto" w:sz="4" w:space="0"/>
                  </w:tcBorders>
                  <w:noWrap w:val="0"/>
                  <w:vAlign w:val="center"/>
                </w:tcPr>
                <w:p w14:paraId="336C0E9A">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火灾、爆炸等引发的伴生/次生污染物排放</w:t>
                  </w:r>
                </w:p>
              </w:tc>
              <w:tc>
                <w:tcPr>
                  <w:tcW w:w="456" w:type="pct"/>
                  <w:vMerge w:val="continue"/>
                  <w:tcBorders>
                    <w:top w:val="single" w:color="auto" w:sz="4" w:space="0"/>
                    <w:left w:val="single" w:color="auto" w:sz="4" w:space="0"/>
                    <w:bottom w:val="single" w:color="auto" w:sz="4" w:space="0"/>
                    <w:right w:val="single" w:color="auto" w:sz="4" w:space="0"/>
                  </w:tcBorders>
                  <w:noWrap w:val="0"/>
                  <w:vAlign w:val="center"/>
                </w:tcPr>
                <w:p w14:paraId="79FD0B81">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896" w:type="pct"/>
                  <w:tcBorders>
                    <w:top w:val="single" w:color="auto" w:sz="4" w:space="0"/>
                    <w:left w:val="single" w:color="auto" w:sz="4" w:space="0"/>
                    <w:bottom w:val="single" w:color="auto" w:sz="4" w:space="0"/>
                    <w:right w:val="single" w:color="auto" w:sz="4" w:space="0"/>
                  </w:tcBorders>
                  <w:noWrap w:val="0"/>
                  <w:vAlign w:val="center"/>
                </w:tcPr>
                <w:p w14:paraId="070BC7A7">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次生CO进入大气环境</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441498CB">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次生CO进入外环境，对厂区及周边大气环境造成影响。</w:t>
                  </w:r>
                </w:p>
              </w:tc>
            </w:tr>
            <w:tr w14:paraId="1B1E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vMerge w:val="continue"/>
                  <w:tcBorders>
                    <w:top w:val="single" w:color="auto" w:sz="4" w:space="0"/>
                    <w:left w:val="single" w:color="auto" w:sz="4" w:space="0"/>
                    <w:bottom w:val="single" w:color="auto" w:sz="4" w:space="0"/>
                    <w:right w:val="single" w:color="auto" w:sz="4" w:space="0"/>
                  </w:tcBorders>
                  <w:noWrap w:val="0"/>
                  <w:vAlign w:val="center"/>
                </w:tcPr>
                <w:p w14:paraId="33799A5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558" w:type="pct"/>
                  <w:vMerge w:val="continue"/>
                  <w:tcBorders>
                    <w:top w:val="single" w:color="auto" w:sz="4" w:space="0"/>
                    <w:left w:val="single" w:color="auto" w:sz="4" w:space="0"/>
                    <w:bottom w:val="single" w:color="auto" w:sz="4" w:space="0"/>
                    <w:right w:val="single" w:color="auto" w:sz="4" w:space="0"/>
                  </w:tcBorders>
                  <w:noWrap w:val="0"/>
                  <w:vAlign w:val="center"/>
                </w:tcPr>
                <w:p w14:paraId="111C01C0">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642" w:type="pct"/>
                  <w:vMerge w:val="continue"/>
                  <w:tcBorders>
                    <w:top w:val="single" w:color="auto" w:sz="4" w:space="0"/>
                    <w:left w:val="single" w:color="auto" w:sz="4" w:space="0"/>
                    <w:bottom w:val="single" w:color="auto" w:sz="4" w:space="0"/>
                    <w:right w:val="single" w:color="auto" w:sz="4" w:space="0"/>
                  </w:tcBorders>
                  <w:noWrap w:val="0"/>
                  <w:vAlign w:val="center"/>
                </w:tcPr>
                <w:p w14:paraId="6571A6B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456" w:type="pct"/>
                  <w:vMerge w:val="continue"/>
                  <w:tcBorders>
                    <w:top w:val="single" w:color="auto" w:sz="4" w:space="0"/>
                    <w:left w:val="single" w:color="auto" w:sz="4" w:space="0"/>
                    <w:bottom w:val="single" w:color="auto" w:sz="4" w:space="0"/>
                    <w:right w:val="single" w:color="auto" w:sz="4" w:space="0"/>
                  </w:tcBorders>
                  <w:noWrap w:val="0"/>
                  <w:vAlign w:val="center"/>
                </w:tcPr>
                <w:p w14:paraId="2BBA5333">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896" w:type="pct"/>
                  <w:tcBorders>
                    <w:top w:val="single" w:color="auto" w:sz="4" w:space="0"/>
                    <w:left w:val="single" w:color="auto" w:sz="4" w:space="0"/>
                    <w:bottom w:val="single" w:color="auto" w:sz="4" w:space="0"/>
                    <w:right w:val="single" w:color="auto" w:sz="4" w:space="0"/>
                  </w:tcBorders>
                  <w:noWrap w:val="0"/>
                  <w:vAlign w:val="center"/>
                </w:tcPr>
                <w:p w14:paraId="493F3BC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消防废水通过雨水管网进入地表水</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715F9A27">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消防废水经雨水管线和水系最终进入地表河流，对河流水质造成不良影响</w:t>
                  </w:r>
                </w:p>
              </w:tc>
            </w:tr>
            <w:tr w14:paraId="2E35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1" w:type="pct"/>
                  <w:vMerge w:val="continue"/>
                  <w:tcBorders>
                    <w:top w:val="single" w:color="auto" w:sz="4" w:space="0"/>
                    <w:left w:val="single" w:color="auto" w:sz="4" w:space="0"/>
                    <w:bottom w:val="single" w:color="auto" w:sz="4" w:space="0"/>
                    <w:right w:val="single" w:color="auto" w:sz="4" w:space="0"/>
                  </w:tcBorders>
                  <w:noWrap w:val="0"/>
                  <w:vAlign w:val="center"/>
                </w:tcPr>
                <w:p w14:paraId="16C40402">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558" w:type="pct"/>
                  <w:vMerge w:val="continue"/>
                  <w:tcBorders>
                    <w:top w:val="single" w:color="auto" w:sz="4" w:space="0"/>
                    <w:left w:val="single" w:color="auto" w:sz="4" w:space="0"/>
                    <w:bottom w:val="single" w:color="auto" w:sz="4" w:space="0"/>
                    <w:right w:val="single" w:color="auto" w:sz="4" w:space="0"/>
                  </w:tcBorders>
                  <w:noWrap w:val="0"/>
                  <w:vAlign w:val="center"/>
                </w:tcPr>
                <w:p w14:paraId="34B1921B">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642" w:type="pct"/>
                  <w:vMerge w:val="continue"/>
                  <w:tcBorders>
                    <w:top w:val="single" w:color="auto" w:sz="4" w:space="0"/>
                    <w:left w:val="single" w:color="auto" w:sz="4" w:space="0"/>
                    <w:bottom w:val="single" w:color="auto" w:sz="4" w:space="0"/>
                    <w:right w:val="single" w:color="auto" w:sz="4" w:space="0"/>
                  </w:tcBorders>
                  <w:noWrap w:val="0"/>
                  <w:vAlign w:val="center"/>
                </w:tcPr>
                <w:p w14:paraId="4221E8D5">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456" w:type="pct"/>
                  <w:vMerge w:val="continue"/>
                  <w:tcBorders>
                    <w:top w:val="single" w:color="auto" w:sz="4" w:space="0"/>
                    <w:left w:val="single" w:color="auto" w:sz="4" w:space="0"/>
                    <w:bottom w:val="single" w:color="auto" w:sz="4" w:space="0"/>
                    <w:right w:val="single" w:color="auto" w:sz="4" w:space="0"/>
                  </w:tcBorders>
                  <w:noWrap w:val="0"/>
                  <w:vAlign w:val="center"/>
                </w:tcPr>
                <w:p w14:paraId="607DF880">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p>
              </w:tc>
              <w:tc>
                <w:tcPr>
                  <w:tcW w:w="896" w:type="pct"/>
                  <w:tcBorders>
                    <w:top w:val="single" w:color="auto" w:sz="4" w:space="0"/>
                    <w:left w:val="single" w:color="auto" w:sz="4" w:space="0"/>
                    <w:bottom w:val="single" w:color="auto" w:sz="4" w:space="0"/>
                    <w:right w:val="single" w:color="auto" w:sz="4" w:space="0"/>
                  </w:tcBorders>
                  <w:noWrap w:val="0"/>
                  <w:vAlign w:val="center"/>
                </w:tcPr>
                <w:p w14:paraId="14B32206">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消防废水下渗进入土壤和地下水</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122EEB22">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消防废水通过未经防腐防渗的地面进入土壤，进而进入地下水中，从而对土壤环境和地下水环境造成影响。</w:t>
                  </w:r>
                </w:p>
              </w:tc>
            </w:tr>
          </w:tbl>
          <w:p w14:paraId="0CA7C015">
            <w:pPr>
              <w:adjustRightInd w:val="0"/>
              <w:snapToGrid w:val="0"/>
              <w:spacing w:line="360" w:lineRule="auto"/>
              <w:ind w:firstLine="482"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3、环境风险防范措施及应急要求</w:t>
            </w:r>
          </w:p>
          <w:p w14:paraId="6185B0A7">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制定风险事故应急预案，包括应急预案实施组织、责任人、每一事故发生的处理程序、原因分析、防止再次发生的改进措施、应急预案的演习等。以使一旦发生事故可快速、有效得到处理，防止事故蔓延，将事故风险和导致的损失降到最低程度。</w:t>
            </w:r>
          </w:p>
          <w:p w14:paraId="4ACFFB74">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（1）风险防范措施：</w:t>
            </w:r>
          </w:p>
          <w:p w14:paraId="628CD973">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严格控制火源：严格在</w:t>
            </w:r>
            <w:r>
              <w:rPr>
                <w:rFonts w:hint="default" w:ascii="Times New Roman" w:hAnsi="Times New Roman" w:eastAsia="宋体" w:cs="Times New Roman"/>
                <w:bCs/>
                <w:color w:val="auto"/>
                <w:sz w:val="24"/>
                <w:highlight w:val="none"/>
                <w:lang w:eastAsia="zh-CN"/>
              </w:rPr>
              <w:t>仓库</w:t>
            </w:r>
            <w:r>
              <w:rPr>
                <w:rFonts w:hint="default" w:ascii="Times New Roman" w:hAnsi="Times New Roman" w:eastAsia="宋体" w:cs="Times New Roman"/>
                <w:bCs/>
                <w:color w:val="auto"/>
                <w:sz w:val="24"/>
                <w:highlight w:val="none"/>
              </w:rPr>
              <w:t>附近吸烟和违章用火；生产厂房等配备室外消防装置。厂房建筑设计应符合《建筑设计防火规范》等相关规定。</w:t>
            </w:r>
          </w:p>
          <w:p w14:paraId="54E4CBA4">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（2）危化品泄漏应急处理及应急措施:</w:t>
            </w:r>
          </w:p>
          <w:p w14:paraId="7741180A">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本项目危化品一次用量很少，不会发生大量泄漏，但有时操作不当会产生小量泄漏，发生泄漏时应进行隔离，严格限制出入。切断火源。建议应急处理人员戴自给正压式呼吸器，穿消防防护服。尽可能切断泄漏源，防止进入下水道等限制性空间；用砂土或其它不燃材料吸附或吸收。也可用大量水冲洗，洗水稀释后放入废水系统。</w:t>
            </w:r>
          </w:p>
          <w:p w14:paraId="57FF246F">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lang w:eastAsia="zh-CN"/>
              </w:rPr>
              <w:t>（</w:t>
            </w:r>
            <w:r>
              <w:rPr>
                <w:rFonts w:hint="default" w:ascii="Times New Roman" w:hAnsi="Times New Roman" w:eastAsia="宋体" w:cs="Times New Roman"/>
                <w:bCs/>
                <w:color w:val="auto"/>
                <w:sz w:val="24"/>
                <w:highlight w:val="none"/>
                <w:lang w:val="en-US" w:eastAsia="zh-CN"/>
              </w:rPr>
              <w:t>3）</w:t>
            </w:r>
            <w:r>
              <w:rPr>
                <w:rFonts w:hint="default" w:ascii="Times New Roman" w:hAnsi="Times New Roman" w:eastAsia="宋体" w:cs="Times New Roman"/>
                <w:bCs/>
                <w:color w:val="auto"/>
                <w:sz w:val="24"/>
                <w:highlight w:val="none"/>
              </w:rPr>
              <w:t>火灾事故处置措施：</w:t>
            </w:r>
          </w:p>
          <w:p w14:paraId="4DE7C045">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a.发现起火，立即报警，通过消防灭火。首先采用抗溶性泡沫、干粉、二氧化碳等灭火器灭火，降低燃烧强度；</w:t>
            </w:r>
          </w:p>
          <w:p w14:paraId="702E7386">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b.切断火势蔓延的途径，冷却和疏散受火势威胁的可燃物，控制燃烧范围，并积极抢救受伤和被困人员；</w:t>
            </w:r>
          </w:p>
          <w:p w14:paraId="2677C84F">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c.通知安全等相关部门人员，启动相应的应急救护程序；</w:t>
            </w:r>
          </w:p>
          <w:p w14:paraId="4D98F7D9">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d.组织救援小组，封锁现场，疏散人员。</w:t>
            </w:r>
          </w:p>
          <w:p w14:paraId="6A4A1E73">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（4）事故排放防范措施发生事故的原因主要</w:t>
            </w:r>
            <w:r>
              <w:rPr>
                <w:rFonts w:hint="eastAsia" w:cs="Times New Roman"/>
                <w:bCs/>
                <w:color w:val="auto"/>
                <w:sz w:val="24"/>
                <w:highlight w:val="none"/>
                <w:lang w:eastAsia="zh-CN"/>
              </w:rPr>
              <w:t>有</w:t>
            </w:r>
            <w:r>
              <w:rPr>
                <w:rFonts w:hint="default" w:ascii="Times New Roman" w:hAnsi="Times New Roman" w:eastAsia="宋体" w:cs="Times New Roman"/>
                <w:bCs/>
                <w:color w:val="auto"/>
                <w:sz w:val="24"/>
                <w:highlight w:val="none"/>
              </w:rPr>
              <w:t>以下几个：</w:t>
            </w:r>
          </w:p>
          <w:p w14:paraId="158D2087">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1）废气处理系统出现故障、设备开车、停车检修时废气直接排入大气环境中；</w:t>
            </w:r>
          </w:p>
          <w:p w14:paraId="5F47CB7A">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2）生产过程中由于设备老化、腐蚀、实</w:t>
            </w:r>
            <w:r>
              <w:rPr>
                <w:rFonts w:hint="eastAsia" w:cs="Times New Roman"/>
                <w:bCs/>
                <w:color w:val="auto"/>
                <w:sz w:val="24"/>
                <w:highlight w:val="none"/>
                <w:lang w:eastAsia="zh-CN"/>
              </w:rPr>
              <w:t>误操作</w:t>
            </w:r>
            <w:r>
              <w:rPr>
                <w:rFonts w:hint="default" w:ascii="Times New Roman" w:hAnsi="Times New Roman" w:eastAsia="宋体" w:cs="Times New Roman"/>
                <w:bCs/>
                <w:color w:val="auto"/>
                <w:sz w:val="24"/>
                <w:highlight w:val="none"/>
              </w:rPr>
              <w:t>等原因造成废气浓度超标；</w:t>
            </w:r>
          </w:p>
          <w:p w14:paraId="2AE7645F">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3）公司突然停电使废气、废水处理系统停止工作，致使废气、废水不能得到及时处理；</w:t>
            </w:r>
          </w:p>
          <w:p w14:paraId="2387EA39">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4）对废气治理措施疏于管理，使治理措施处理效率降低造成废气浓度超标；为杜绝事故性废气排放，建议采用以下措施确保废气达标排放：</w:t>
            </w:r>
          </w:p>
          <w:p w14:paraId="283C28FF">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①平时加强废气处理设施的维护保养，及时发现处理设备的隐患，并及时进行维修，确保废气处理系统正常运行；</w:t>
            </w:r>
          </w:p>
          <w:p w14:paraId="4066B956">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②建立健全的环保机构，配置必要的监测仪器，对管理人员和技术人员进行岗位培训，对废气处理实行全过程跟踪控制；</w:t>
            </w:r>
          </w:p>
          <w:p w14:paraId="4091389E">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lang w:eastAsia="zh-CN"/>
              </w:rPr>
              <w:t>③</w:t>
            </w:r>
            <w:r>
              <w:rPr>
                <w:rFonts w:hint="default" w:ascii="Times New Roman" w:hAnsi="Times New Roman" w:eastAsia="宋体" w:cs="Times New Roman"/>
                <w:bCs/>
                <w:color w:val="auto"/>
                <w:sz w:val="24"/>
                <w:highlight w:val="none"/>
              </w:rPr>
              <w:t>危废暂存间防范措施：危废暂存间内危险固废应分类收集安置，远离火种、热源；划定禁火区，在明显地点设有警示标志，输配电线、灯具、火灾事故照明和疏散指示标志均应符合安全要求。</w:t>
            </w:r>
          </w:p>
          <w:p w14:paraId="137767A0">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lang w:eastAsia="zh-CN"/>
              </w:rPr>
              <w:t>④</w:t>
            </w:r>
            <w:r>
              <w:rPr>
                <w:rFonts w:hint="default" w:ascii="Times New Roman" w:hAnsi="Times New Roman" w:eastAsia="宋体" w:cs="Times New Roman"/>
                <w:bCs/>
                <w:color w:val="auto"/>
                <w:sz w:val="24"/>
                <w:highlight w:val="none"/>
              </w:rPr>
              <w:t>发生事故时第一时间通知撤离周边企事业人员，减轻事故影响。事故状态下，根据气象条件及交通情况，选择向远离泄漏点上风向疏散。疏散过程中应注意交通情况，有序疏散，</w:t>
            </w:r>
            <w:r>
              <w:rPr>
                <w:rFonts w:hint="eastAsia" w:cs="Times New Roman"/>
                <w:bCs/>
                <w:color w:val="auto"/>
                <w:sz w:val="24"/>
                <w:highlight w:val="none"/>
                <w:lang w:eastAsia="zh-CN"/>
              </w:rPr>
              <w:t>防止</w:t>
            </w:r>
            <w:r>
              <w:rPr>
                <w:rFonts w:hint="default" w:ascii="Times New Roman" w:hAnsi="Times New Roman" w:eastAsia="宋体" w:cs="Times New Roman"/>
                <w:bCs/>
                <w:color w:val="auto"/>
                <w:sz w:val="24"/>
                <w:highlight w:val="none"/>
              </w:rPr>
              <w:t>发生交通事故及踩踏伤害。对疏散出的人员，要加强脱险后的管理，防止脱险人员对财产和未撤离危险区的亲友生命担心而重新返回事故现场。发生较大突发环境事件时，为配合救援工作开展需进行交通管制时，警戒维护组应配合交警进行交通管制。选择厂区大门前空地及停车场区域作为紧急避难场所，做好宣传工作，确保所有人了解紧急避难场所的位置和功能。</w:t>
            </w:r>
          </w:p>
          <w:p w14:paraId="4E727BAA">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本项目存在一定潜在事故风险，需加强风险管理，在项目建设和运营过程中要认真落实各种风险防范措施，尽可能杜绝各类环境事故的</w:t>
            </w:r>
            <w:r>
              <w:rPr>
                <w:rFonts w:hint="eastAsia" w:cs="Times New Roman"/>
                <w:bCs/>
                <w:color w:val="auto"/>
                <w:sz w:val="24"/>
                <w:highlight w:val="none"/>
                <w:lang w:eastAsia="zh-CN"/>
              </w:rPr>
              <w:t>发生</w:t>
            </w:r>
            <w:r>
              <w:rPr>
                <w:rFonts w:hint="default" w:ascii="Times New Roman" w:hAnsi="Times New Roman" w:eastAsia="宋体" w:cs="Times New Roman"/>
                <w:bCs/>
                <w:color w:val="auto"/>
                <w:sz w:val="24"/>
                <w:highlight w:val="none"/>
              </w:rPr>
              <w:t>和发展，避免当地环境受到污染。</w:t>
            </w:r>
          </w:p>
          <w:p w14:paraId="7DA7B45A">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建设单位应及时编制企业突发事件应急预案，并报蚌埠市生态环境局龙子湖区分局进行备案，主要内容应包括预案适用范围、突发事件分类与分级、组织机构与职责、监控和预警、应急响应、应急保障、善后处置、预案管理和演练等内容。项目建成后，将拟建项目环境风险应急系统纳入</w:t>
            </w:r>
            <w:r>
              <w:rPr>
                <w:rFonts w:hint="default" w:ascii="Times New Roman" w:hAnsi="Times New Roman" w:eastAsia="宋体" w:cs="Times New Roman"/>
                <w:bCs/>
                <w:color w:val="auto"/>
                <w:sz w:val="24"/>
                <w:highlight w:val="none"/>
                <w:lang w:eastAsia="zh-CN"/>
              </w:rPr>
              <w:t>龙子湖区</w:t>
            </w:r>
            <w:r>
              <w:rPr>
                <w:rFonts w:hint="default" w:ascii="Times New Roman" w:hAnsi="Times New Roman" w:eastAsia="宋体" w:cs="Times New Roman"/>
                <w:bCs/>
                <w:color w:val="auto"/>
                <w:sz w:val="24"/>
                <w:highlight w:val="none"/>
              </w:rPr>
              <w:t>环境风险应急体系，项目应急预案编制应与地方政府突发事件应急预案相衔接，明确分级响应程序。</w:t>
            </w:r>
          </w:p>
          <w:p w14:paraId="6F1DAE65">
            <w:pPr>
              <w:adjustRightInd w:val="0"/>
              <w:snapToGrid w:val="0"/>
              <w:spacing w:line="360" w:lineRule="auto"/>
              <w:ind w:firstLine="482"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4、环境风险分析结论</w:t>
            </w:r>
          </w:p>
          <w:p w14:paraId="33C2EE36">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综上所述，本项目使用的危险化学品使用量和储存量尚未构成重大危险源；根据环境风险分析内容，项目在认真落实各项环境风险防范、应急与减缓措施的基础上，及时编制企业突发事件应急预案，可使风险事故对环境的危害得到有效控制，环境风险是可防控的。</w:t>
            </w:r>
          </w:p>
          <w:p w14:paraId="4FC483C1">
            <w:pPr>
              <w:keepNext/>
              <w:keepLines/>
              <w:pageBreakBefore w:val="0"/>
              <w:kinsoku/>
              <w:wordWrap/>
              <w:overflowPunct/>
              <w:topLinePunct w:val="0"/>
              <w:bidi w:val="0"/>
              <w:spacing w:line="240" w:lineRule="auto"/>
              <w:ind w:firstLine="0" w:firstLineChars="0"/>
              <w:contextualSpacing/>
              <w:jc w:val="center"/>
              <w:textAlignment w:val="auto"/>
              <w:rPr>
                <w:rFonts w:hint="default" w:ascii="Times New Roman" w:hAnsi="Times New Roman" w:eastAsia="宋体" w:cs="Times New Roman"/>
                <w:b/>
                <w:bCs/>
                <w:color w:val="auto"/>
                <w:sz w:val="21"/>
                <w:highlight w:val="none"/>
              </w:rPr>
            </w:pPr>
            <w:r>
              <w:rPr>
                <w:rFonts w:hint="default" w:ascii="Times New Roman" w:hAnsi="Times New Roman" w:eastAsia="宋体" w:cs="Times New Roman"/>
                <w:b/>
                <w:color w:val="auto"/>
                <w:sz w:val="21"/>
                <w:szCs w:val="21"/>
                <w:highlight w:val="none"/>
                <w:lang w:val="en-US" w:eastAsia="zh-CN"/>
              </w:rPr>
              <w:t>表4-</w:t>
            </w:r>
            <w:r>
              <w:rPr>
                <w:rFonts w:hint="default" w:ascii="Times New Roman" w:hAnsi="Times New Roman" w:cs="Times New Roman"/>
                <w:b/>
                <w:color w:val="auto"/>
                <w:sz w:val="21"/>
                <w:szCs w:val="21"/>
                <w:highlight w:val="none"/>
                <w:lang w:val="en-US" w:eastAsia="zh-CN"/>
              </w:rPr>
              <w:t>21</w:t>
            </w:r>
            <w:r>
              <w:rPr>
                <w:rFonts w:hint="default" w:ascii="Times New Roman" w:hAnsi="Times New Roman" w:eastAsia="宋体" w:cs="Times New Roman"/>
                <w:b/>
                <w:color w:val="auto"/>
                <w:sz w:val="21"/>
                <w:szCs w:val="21"/>
                <w:highlight w:val="none"/>
                <w:lang w:val="en-US" w:eastAsia="zh-CN"/>
              </w:rPr>
              <w:t xml:space="preserve">  建设项目环境风险简单分析内容表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542"/>
              <w:gridCol w:w="1381"/>
              <w:gridCol w:w="1397"/>
              <w:gridCol w:w="2336"/>
            </w:tblGrid>
            <w:tr w14:paraId="03A5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pct"/>
                  <w:noWrap w:val="0"/>
                  <w:vAlign w:val="center"/>
                </w:tcPr>
                <w:p w14:paraId="3C709F2E">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建设项目名称</w:t>
                  </w:r>
                </w:p>
              </w:tc>
              <w:tc>
                <w:tcPr>
                  <w:tcW w:w="4264" w:type="pct"/>
                  <w:gridSpan w:val="4"/>
                  <w:noWrap w:val="0"/>
                  <w:vAlign w:val="center"/>
                </w:tcPr>
                <w:p w14:paraId="3A46AF96">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Cs/>
                      <w:color w:val="auto"/>
                      <w:kern w:val="2"/>
                      <w:sz w:val="21"/>
                      <w:szCs w:val="21"/>
                      <w:highlight w:val="none"/>
                      <w:lang w:val="en-US" w:eastAsia="zh-CN" w:bidi="ar-SA"/>
                    </w:rPr>
                    <w:t>年产300万只保温容器外壳项目</w:t>
                  </w:r>
                </w:p>
              </w:tc>
            </w:tr>
            <w:tr w14:paraId="37A38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5" w:type="pct"/>
                  <w:noWrap w:val="0"/>
                  <w:vAlign w:val="center"/>
                </w:tcPr>
                <w:p w14:paraId="62DD65D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建设地点</w:t>
                  </w:r>
                </w:p>
              </w:tc>
              <w:tc>
                <w:tcPr>
                  <w:tcW w:w="988" w:type="pct"/>
                  <w:noWrap w:val="0"/>
                  <w:vAlign w:val="center"/>
                </w:tcPr>
                <w:p w14:paraId="3C4C492A">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（安徽）省</w:t>
                  </w:r>
                </w:p>
              </w:tc>
              <w:tc>
                <w:tcPr>
                  <w:tcW w:w="884" w:type="pct"/>
                  <w:noWrap w:val="0"/>
                  <w:vAlign w:val="center"/>
                </w:tcPr>
                <w:p w14:paraId="09BB3BA8">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（蚌埠）市</w:t>
                  </w:r>
                </w:p>
              </w:tc>
              <w:tc>
                <w:tcPr>
                  <w:tcW w:w="895" w:type="pct"/>
                  <w:noWrap w:val="0"/>
                  <w:vAlign w:val="center"/>
                </w:tcPr>
                <w:p w14:paraId="341AD528">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（龙子湖）区</w:t>
                  </w:r>
                </w:p>
              </w:tc>
              <w:tc>
                <w:tcPr>
                  <w:tcW w:w="1496" w:type="pct"/>
                  <w:noWrap w:val="0"/>
                  <w:vAlign w:val="center"/>
                </w:tcPr>
                <w:p w14:paraId="6EE2A2ED">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李楼乡胜利东路199号</w:t>
                  </w:r>
                </w:p>
              </w:tc>
            </w:tr>
            <w:tr w14:paraId="3115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35" w:type="pct"/>
                  <w:noWrap w:val="0"/>
                  <w:vAlign w:val="center"/>
                </w:tcPr>
                <w:p w14:paraId="55E55C24">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地理坐标</w:t>
                  </w:r>
                </w:p>
              </w:tc>
              <w:tc>
                <w:tcPr>
                  <w:tcW w:w="1873" w:type="pct"/>
                  <w:gridSpan w:val="2"/>
                  <w:noWrap w:val="0"/>
                  <w:vAlign w:val="center"/>
                </w:tcPr>
                <w:p w14:paraId="7EC7D31E">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经度：117度28分14.954秒</w:t>
                  </w:r>
                </w:p>
              </w:tc>
              <w:tc>
                <w:tcPr>
                  <w:tcW w:w="2391" w:type="pct"/>
                  <w:gridSpan w:val="2"/>
                  <w:noWrap w:val="0"/>
                  <w:vAlign w:val="center"/>
                </w:tcPr>
                <w:p w14:paraId="6AAD4DAA">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纬度：32度53分37.316秒</w:t>
                  </w:r>
                </w:p>
              </w:tc>
            </w:tr>
            <w:tr w14:paraId="1C365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35" w:type="pct"/>
                  <w:noWrap w:val="0"/>
                  <w:vAlign w:val="center"/>
                </w:tcPr>
                <w:p w14:paraId="6F37D5A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主要危险物质及分布</w:t>
                  </w:r>
                </w:p>
              </w:tc>
              <w:tc>
                <w:tcPr>
                  <w:tcW w:w="4264" w:type="pct"/>
                  <w:gridSpan w:val="4"/>
                  <w:noWrap w:val="0"/>
                  <w:vAlign w:val="center"/>
                </w:tcPr>
                <w:p w14:paraId="2B824270">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本项目重点关注的危险物质为废活性炭、</w:t>
                  </w:r>
                  <w:r>
                    <w:rPr>
                      <w:rFonts w:hint="eastAsia" w:cs="Times New Roman"/>
                      <w:bCs/>
                      <w:color w:val="auto"/>
                      <w:kern w:val="2"/>
                      <w:sz w:val="21"/>
                      <w:szCs w:val="21"/>
                      <w:highlight w:val="none"/>
                      <w:lang w:val="en-US" w:eastAsia="zh-CN" w:bidi="ar-SA"/>
                    </w:rPr>
                    <w:t>废过滤棉、</w:t>
                  </w:r>
                  <w:r>
                    <w:rPr>
                      <w:rFonts w:hint="default" w:ascii="Times New Roman" w:hAnsi="Times New Roman" w:eastAsia="宋体" w:cs="Times New Roman"/>
                      <w:bCs/>
                      <w:color w:val="auto"/>
                      <w:kern w:val="2"/>
                      <w:sz w:val="21"/>
                      <w:szCs w:val="21"/>
                      <w:highlight w:val="none"/>
                      <w:lang w:val="en-US" w:eastAsia="zh-CN" w:bidi="ar-SA"/>
                    </w:rPr>
                    <w:t>废润滑油、废油桶</w:t>
                  </w:r>
                </w:p>
              </w:tc>
            </w:tr>
            <w:tr w14:paraId="3AA0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735" w:type="pct"/>
                  <w:noWrap w:val="0"/>
                  <w:vAlign w:val="center"/>
                </w:tcPr>
                <w:p w14:paraId="3A12634A">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环境影响途径及危害后果（大气、地表水、地下水等）</w:t>
                  </w:r>
                </w:p>
              </w:tc>
              <w:tc>
                <w:tcPr>
                  <w:tcW w:w="4264" w:type="pct"/>
                  <w:gridSpan w:val="4"/>
                  <w:noWrap w:val="0"/>
                  <w:vAlign w:val="center"/>
                </w:tcPr>
                <w:p w14:paraId="239648AA">
                  <w:pPr>
                    <w:widowControl w:val="0"/>
                    <w:adjustRightInd w:val="0"/>
                    <w:snapToGrid w:val="0"/>
                    <w:spacing w:line="240" w:lineRule="auto"/>
                    <w:ind w:firstLine="0" w:firstLineChars="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液态泄漏物质经雨水管线和水系最终进入地表河流，对河流水质造成不良影响；液态泄漏物质通过未经防腐防渗的地面进入土壤，进而进入地下水中，从而对土壤环境和地下水环境造成影响；次生CO进入外环境，对厂区及周边大气环境造成影响；消防废水经雨水管线和水系最终进入地表河流，对河流水质造成不良影响；消防废水通过未经防腐防渗的地面进入土壤，进而进入地下水中，从而对土壤环境和地下水环境造成影响。</w:t>
                  </w:r>
                </w:p>
              </w:tc>
            </w:tr>
            <w:tr w14:paraId="5B5A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735" w:type="pct"/>
                  <w:noWrap w:val="0"/>
                  <w:vAlign w:val="center"/>
                </w:tcPr>
                <w:p w14:paraId="0B1931E5">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风险防范措施要求</w:t>
                  </w:r>
                </w:p>
              </w:tc>
              <w:tc>
                <w:tcPr>
                  <w:tcW w:w="4264" w:type="pct"/>
                  <w:gridSpan w:val="4"/>
                  <w:noWrap w:val="0"/>
                  <w:vAlign w:val="center"/>
                </w:tcPr>
                <w:p w14:paraId="7B65A83F">
                  <w:pPr>
                    <w:widowControl w:val="0"/>
                    <w:adjustRightInd w:val="0"/>
                    <w:snapToGrid w:val="0"/>
                    <w:spacing w:line="240" w:lineRule="auto"/>
                    <w:ind w:firstLine="0" w:firstLineChars="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（1）风险防范措施：</w:t>
                  </w:r>
                </w:p>
                <w:p w14:paraId="665FE936">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严格控制火源：严格在仓库附近吸烟和违章用火；生产厂房等配备室外消防装置。厂房建筑设计应符合《建筑设计防火规范》等相关规定。</w:t>
                  </w:r>
                </w:p>
                <w:p w14:paraId="70D488EE">
                  <w:pPr>
                    <w:widowControl w:val="0"/>
                    <w:adjustRightInd w:val="0"/>
                    <w:snapToGrid w:val="0"/>
                    <w:spacing w:line="240" w:lineRule="auto"/>
                    <w:ind w:firstLine="0" w:firstLineChars="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（2）危化品泄漏应急处理及应急措施:</w:t>
                  </w:r>
                </w:p>
                <w:p w14:paraId="4F6DB876">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本项目危化品一次用量很少，不会发生大量泄漏，但有时操作不当会产生小量泄漏，发生泄漏时应进行隔离，严格限制出入。切断火源。建议应急处理人员戴自给正压式呼吸器，穿消防防护服。尽可能切断泄漏源，防止进入下水道等限制性空间；用砂土或其它不燃材料吸附或吸收。也可用大量水冲洗，洗水稀释后放入废水系统。</w:t>
                  </w:r>
                </w:p>
                <w:p w14:paraId="07EE9EA5">
                  <w:pPr>
                    <w:widowControl w:val="0"/>
                    <w:adjustRightInd w:val="0"/>
                    <w:snapToGrid w:val="0"/>
                    <w:spacing w:line="240" w:lineRule="auto"/>
                    <w:ind w:firstLine="0" w:firstLineChars="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（3）火灾事故处置措施：</w:t>
                  </w:r>
                </w:p>
                <w:p w14:paraId="4BC11239">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a.发现起火，立即报警，通过消防灭火。首先采用抗溶性泡沫、干粉、二氧化碳等灭火器灭火，降低燃烧强度；</w:t>
                  </w:r>
                </w:p>
                <w:p w14:paraId="19A1A3E2">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b.切断火势蔓延的途径，冷却和疏散受火势威胁的可燃物，控制燃烧范围，并积极抢救受伤和被困人员；</w:t>
                  </w:r>
                </w:p>
                <w:p w14:paraId="47136A39">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c.通知安全等相关部门人员，启动相应的应急救护程序；</w:t>
                  </w:r>
                </w:p>
                <w:p w14:paraId="1ADD62CE">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d.组织救援小组，封锁现场，疏散人员。</w:t>
                  </w:r>
                </w:p>
                <w:p w14:paraId="7C829C40">
                  <w:pPr>
                    <w:widowControl w:val="0"/>
                    <w:adjustRightInd w:val="0"/>
                    <w:snapToGrid w:val="0"/>
                    <w:spacing w:line="240" w:lineRule="auto"/>
                    <w:ind w:firstLine="0" w:firstLineChars="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（4）事故排放防范措施发生事故的原因主要</w:t>
                  </w:r>
                  <w:r>
                    <w:rPr>
                      <w:rFonts w:hint="eastAsia" w:cs="Times New Roman"/>
                      <w:bCs/>
                      <w:color w:val="auto"/>
                      <w:kern w:val="2"/>
                      <w:sz w:val="21"/>
                      <w:szCs w:val="21"/>
                      <w:highlight w:val="none"/>
                      <w:lang w:val="en-US" w:eastAsia="zh-CN" w:bidi="ar-SA"/>
                    </w:rPr>
                    <w:t>有</w:t>
                  </w:r>
                  <w:r>
                    <w:rPr>
                      <w:rFonts w:hint="default" w:ascii="Times New Roman" w:hAnsi="Times New Roman" w:eastAsia="宋体" w:cs="Times New Roman"/>
                      <w:bCs/>
                      <w:color w:val="auto"/>
                      <w:kern w:val="2"/>
                      <w:sz w:val="21"/>
                      <w:szCs w:val="21"/>
                      <w:highlight w:val="none"/>
                      <w:lang w:val="en-US" w:eastAsia="zh-CN" w:bidi="ar-SA"/>
                    </w:rPr>
                    <w:t>以下几个：</w:t>
                  </w:r>
                </w:p>
                <w:p w14:paraId="5EE205CD">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1）废气处理系统出现故障、设备开车、停车检修时废气直接排入大气环境中；</w:t>
                  </w:r>
                </w:p>
                <w:p w14:paraId="661976A5">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2）生产过程中由于设备老化、腐蚀、实</w:t>
                  </w:r>
                  <w:r>
                    <w:rPr>
                      <w:rFonts w:hint="eastAsia" w:cs="Times New Roman"/>
                      <w:bCs/>
                      <w:color w:val="auto"/>
                      <w:kern w:val="2"/>
                      <w:sz w:val="21"/>
                      <w:szCs w:val="21"/>
                      <w:highlight w:val="none"/>
                      <w:lang w:val="en-US" w:eastAsia="zh-CN" w:bidi="ar-SA"/>
                    </w:rPr>
                    <w:t>误操作</w:t>
                  </w:r>
                  <w:r>
                    <w:rPr>
                      <w:rFonts w:hint="default" w:ascii="Times New Roman" w:hAnsi="Times New Roman" w:eastAsia="宋体" w:cs="Times New Roman"/>
                      <w:bCs/>
                      <w:color w:val="auto"/>
                      <w:kern w:val="2"/>
                      <w:sz w:val="21"/>
                      <w:szCs w:val="21"/>
                      <w:highlight w:val="none"/>
                      <w:lang w:val="en-US" w:eastAsia="zh-CN" w:bidi="ar-SA"/>
                    </w:rPr>
                    <w:t>等原因造成废气浓度超标；</w:t>
                  </w:r>
                </w:p>
                <w:p w14:paraId="36A2FE47">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3）公司突然停电使废气、废水处理系统停止工作，致使废气、废水不能得到及时处理；</w:t>
                  </w:r>
                </w:p>
                <w:p w14:paraId="120A7B3C">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4）对废气治理措施疏于管理，使治理措施处理效率降低造成废气浓度超标；为杜绝事故性废气排放，建议采用以下措施确保废气达标排放：</w:t>
                  </w:r>
                </w:p>
                <w:p w14:paraId="41C57855">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①平时加强废气处理设施的维护保养，及时发现处理设备的隐患，并及时进行维修，确保废气处理系统正常运行；</w:t>
                  </w:r>
                </w:p>
                <w:p w14:paraId="4836A2CA">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②建立健全的环保机构，配置必要的监测仪器，对管理人员和技术人员进行岗位培训，对废气处理实行全过程跟踪控制；</w:t>
                  </w:r>
                </w:p>
                <w:p w14:paraId="068BBC38">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③危废暂存间防范措施：危废暂存间内危险固废应分类收集安置，远离火种、热源；划定禁火区，在明显地点设有警示标志，输配电线、灯具、火灾事故照明和疏散指示标志均应符合安全要求。</w:t>
                  </w:r>
                </w:p>
                <w:p w14:paraId="171DA298">
                  <w:pPr>
                    <w:widowControl w:val="0"/>
                    <w:adjustRightInd w:val="0"/>
                    <w:snapToGrid w:val="0"/>
                    <w:spacing w:line="240" w:lineRule="auto"/>
                    <w:ind w:firstLine="420" w:firstLineChars="200"/>
                    <w:jc w:val="left"/>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④发生事故时第一时间通知撤离周边企事业人员，减轻事故影响。事故状态下，根据气象条件及交通情况，选择向远离泄漏点上风向疏散。对疏散出的人员，要加强脱险后的管理。</w:t>
                  </w:r>
                </w:p>
              </w:tc>
            </w:tr>
            <w:tr w14:paraId="4D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735" w:type="pct"/>
                  <w:noWrap w:val="0"/>
                  <w:vAlign w:val="center"/>
                </w:tcPr>
                <w:p w14:paraId="0F16DC01">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评价结论与建议</w:t>
                  </w:r>
                </w:p>
              </w:tc>
              <w:tc>
                <w:tcPr>
                  <w:tcW w:w="4264" w:type="pct"/>
                  <w:gridSpan w:val="4"/>
                  <w:noWrap w:val="0"/>
                  <w:vAlign w:val="center"/>
                </w:tcPr>
                <w:p w14:paraId="70262899">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本项目事故风险水平较低，在进一步采取安全防范措施和事故应急预案后，项目对外环境的风险影响处于可以接受的范围内，只要严格遵守各项安全操作规程和制度，加强安全管理，本项目环境风险是可以接受的。</w:t>
                  </w:r>
                </w:p>
              </w:tc>
            </w:tr>
            <w:tr w14:paraId="48B1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5000" w:type="pct"/>
                  <w:gridSpan w:val="5"/>
                  <w:noWrap w:val="0"/>
                  <w:vAlign w:val="center"/>
                </w:tcPr>
                <w:p w14:paraId="539CAB8F">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填表说明（列出项目相关信息及评价说明）：</w:t>
                  </w:r>
                </w:p>
                <w:p w14:paraId="3307B454">
                  <w:pPr>
                    <w:widowControl w:val="0"/>
                    <w:adjustRightInd w:val="0"/>
                    <w:snapToGrid w:val="0"/>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根据风险识别结果，项目不存在重大危险源，风险事故对外环境影响较小</w:t>
                  </w:r>
                  <w:r>
                    <w:rPr>
                      <w:rFonts w:hint="eastAsia" w:cs="Times New Roman"/>
                      <w:bCs/>
                      <w:color w:val="auto"/>
                      <w:kern w:val="2"/>
                      <w:sz w:val="21"/>
                      <w:szCs w:val="21"/>
                      <w:highlight w:val="none"/>
                      <w:lang w:val="en-US" w:eastAsia="zh-CN" w:bidi="ar-SA"/>
                    </w:rPr>
                    <w:t>，在</w:t>
                  </w:r>
                  <w:r>
                    <w:rPr>
                      <w:rFonts w:hint="default" w:ascii="Times New Roman" w:hAnsi="Times New Roman" w:eastAsia="宋体" w:cs="Times New Roman"/>
                      <w:bCs/>
                      <w:color w:val="auto"/>
                      <w:kern w:val="2"/>
                      <w:sz w:val="21"/>
                      <w:szCs w:val="21"/>
                      <w:highlight w:val="none"/>
                      <w:lang w:val="en-US" w:eastAsia="zh-CN" w:bidi="ar-SA"/>
                    </w:rPr>
                    <w:t>项</w:t>
                  </w:r>
                  <w:r>
                    <w:rPr>
                      <w:rFonts w:hint="eastAsia" w:cs="Times New Roman"/>
                      <w:bCs/>
                      <w:color w:val="auto"/>
                      <w:kern w:val="2"/>
                      <w:sz w:val="21"/>
                      <w:szCs w:val="21"/>
                      <w:highlight w:val="none"/>
                      <w:lang w:val="en-US" w:eastAsia="zh-CN" w:bidi="ar-SA"/>
                    </w:rPr>
                    <w:t>目</w:t>
                  </w:r>
                  <w:r>
                    <w:rPr>
                      <w:rFonts w:hint="default" w:ascii="Times New Roman" w:hAnsi="Times New Roman" w:eastAsia="宋体" w:cs="Times New Roman"/>
                      <w:bCs/>
                      <w:color w:val="auto"/>
                      <w:kern w:val="2"/>
                      <w:sz w:val="21"/>
                      <w:szCs w:val="21"/>
                      <w:highlight w:val="none"/>
                      <w:lang w:val="en-US" w:eastAsia="zh-CN" w:bidi="ar-SA"/>
                    </w:rPr>
                    <w:t>落实环境风险防范措施和应急预案地基础上，其环境风险是可接受的。</w:t>
                  </w:r>
                </w:p>
              </w:tc>
            </w:tr>
          </w:tbl>
          <w:p w14:paraId="1EB23D00">
            <w:pPr>
              <w:pStyle w:val="22"/>
              <w:rPr>
                <w:rFonts w:hint="default" w:ascii="Times New Roman" w:hAnsi="Times New Roman" w:cs="Times New Roman"/>
                <w:lang w:val="en-US" w:eastAsia="zh-CN"/>
              </w:rPr>
            </w:pPr>
          </w:p>
          <w:p w14:paraId="16819E71">
            <w:pPr>
              <w:rPr>
                <w:rFonts w:hint="default" w:ascii="Times New Roman" w:hAnsi="Times New Roman" w:cs="Times New Roman"/>
                <w:lang w:val="en-US" w:eastAsia="zh-CN"/>
              </w:rPr>
            </w:pPr>
          </w:p>
        </w:tc>
      </w:tr>
    </w:tbl>
    <w:p w14:paraId="4786F517">
      <w:pPr>
        <w:rPr>
          <w:rFonts w:hint="default" w:ascii="Times New Roman" w:hAnsi="Times New Roman" w:eastAsia="黑体" w:cs="Times New Roman"/>
          <w:color w:val="auto"/>
          <w:sz w:val="30"/>
          <w:szCs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1C581A8">
      <w:pPr>
        <w:pStyle w:val="23"/>
        <w:spacing w:line="240" w:lineRule="auto"/>
        <w:ind w:firstLine="0" w:firstLineChars="0"/>
        <w:jc w:val="center"/>
        <w:outlineLvl w:val="0"/>
        <w:rPr>
          <w:rFonts w:ascii="Times New Roman" w:hAnsi="Times New Roman" w:eastAsia="黑体" w:cs="Times New Roman"/>
          <w:snapToGrid w:val="0"/>
          <w:color w:val="auto"/>
          <w:sz w:val="30"/>
          <w:szCs w:val="30"/>
          <w:highlight w:val="none"/>
        </w:rPr>
      </w:pPr>
      <w:bookmarkStart w:id="74" w:name="_Toc24196"/>
      <w:bookmarkStart w:id="75" w:name="_Toc15186"/>
      <w:bookmarkStart w:id="76" w:name="_Toc25553"/>
      <w:r>
        <w:rPr>
          <w:rFonts w:ascii="Times New Roman" w:hAnsi="Times New Roman" w:eastAsia="黑体" w:cs="Times New Roman"/>
          <w:snapToGrid w:val="0"/>
          <w:color w:val="auto"/>
          <w:sz w:val="30"/>
          <w:szCs w:val="30"/>
          <w:highlight w:val="none"/>
        </w:rPr>
        <w:t>五、</w:t>
      </w:r>
      <w:bookmarkStart w:id="77" w:name="_Hlk54167917"/>
      <w:r>
        <w:rPr>
          <w:rFonts w:ascii="Times New Roman" w:hAnsi="Times New Roman" w:eastAsia="黑体" w:cs="Times New Roman"/>
          <w:snapToGrid w:val="0"/>
          <w:color w:val="auto"/>
          <w:sz w:val="30"/>
          <w:szCs w:val="30"/>
          <w:highlight w:val="none"/>
        </w:rPr>
        <w:t>环境保护措施监督检查清单</w:t>
      </w:r>
      <w:bookmarkEnd w:id="74"/>
      <w:bookmarkEnd w:id="77"/>
    </w:p>
    <w:tbl>
      <w:tblPr>
        <w:tblStyle w:val="25"/>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1519"/>
        <w:gridCol w:w="1440"/>
        <w:gridCol w:w="2040"/>
        <w:gridCol w:w="2547"/>
      </w:tblGrid>
      <w:tr w14:paraId="39E116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54" w:type="dxa"/>
            <w:tcBorders>
              <w:tl2br w:val="single" w:color="auto" w:sz="4" w:space="0"/>
            </w:tcBorders>
            <w:noWrap w:val="0"/>
            <w:vAlign w:val="center"/>
          </w:tcPr>
          <w:p w14:paraId="127E3E9E">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w:t>
            </w:r>
            <w:r>
              <w:rPr>
                <w:rFonts w:ascii="Times New Roman" w:hAnsi="Times New Roman" w:eastAsia="宋体" w:cs="Times New Roman"/>
                <w:color w:val="auto"/>
                <w:sz w:val="24"/>
                <w:highlight w:val="none"/>
              </w:rPr>
              <w:t>内容</w:t>
            </w:r>
          </w:p>
          <w:p w14:paraId="24E73217">
            <w:pPr>
              <w:adjustRightInd w:val="0"/>
              <w:snapToGrid w:val="0"/>
              <w:spacing w:line="240" w:lineRule="auto"/>
              <w:ind w:firstLine="0" w:firstLineChars="0"/>
              <w:jc w:val="center"/>
              <w:rPr>
                <w:rFonts w:ascii="Times New Roman" w:hAnsi="Times New Roman" w:eastAsia="宋体" w:cs="Times New Roman"/>
                <w:color w:val="auto"/>
                <w:sz w:val="24"/>
                <w:highlight w:val="none"/>
              </w:rPr>
            </w:pPr>
          </w:p>
          <w:p w14:paraId="3577E72F">
            <w:pPr>
              <w:adjustRightInd w:val="0"/>
              <w:snapToGrid w:val="0"/>
              <w:spacing w:line="240" w:lineRule="auto"/>
              <w:ind w:firstLine="0" w:firstLineChars="0"/>
              <w:jc w:val="center"/>
              <w:rPr>
                <w:rFonts w:ascii="Times New Roman" w:hAnsi="Times New Roman" w:eastAsia="宋体" w:cs="Times New Roman"/>
                <w:color w:val="auto"/>
                <w:sz w:val="24"/>
                <w:highlight w:val="none"/>
              </w:rPr>
            </w:pPr>
          </w:p>
          <w:p w14:paraId="17BC7AF6">
            <w:pPr>
              <w:adjustRightInd w:val="0"/>
              <w:snapToGrid w:val="0"/>
              <w:spacing w:line="240" w:lineRule="auto"/>
              <w:ind w:firstLine="0" w:firstLineChars="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要素</w:t>
            </w:r>
          </w:p>
        </w:tc>
        <w:tc>
          <w:tcPr>
            <w:tcW w:w="1519" w:type="dxa"/>
            <w:noWrap w:val="0"/>
            <w:vAlign w:val="center"/>
          </w:tcPr>
          <w:p w14:paraId="627C81FA">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排放口(编号、名称)/污染源</w:t>
            </w:r>
          </w:p>
        </w:tc>
        <w:tc>
          <w:tcPr>
            <w:tcW w:w="1440" w:type="dxa"/>
            <w:noWrap w:val="0"/>
            <w:vAlign w:val="center"/>
          </w:tcPr>
          <w:p w14:paraId="3AAFDC2B">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污染物项目</w:t>
            </w:r>
          </w:p>
        </w:tc>
        <w:tc>
          <w:tcPr>
            <w:tcW w:w="2040" w:type="dxa"/>
            <w:noWrap w:val="0"/>
            <w:vAlign w:val="center"/>
          </w:tcPr>
          <w:p w14:paraId="17E3ECA7">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环境保护措施</w:t>
            </w:r>
          </w:p>
        </w:tc>
        <w:tc>
          <w:tcPr>
            <w:tcW w:w="2547" w:type="dxa"/>
            <w:noWrap w:val="0"/>
            <w:vAlign w:val="center"/>
          </w:tcPr>
          <w:p w14:paraId="25CEA320">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执行标准</w:t>
            </w:r>
          </w:p>
        </w:tc>
      </w:tr>
      <w:tr w14:paraId="6BBFF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254" w:type="dxa"/>
            <w:vMerge w:val="restart"/>
            <w:noWrap w:val="0"/>
            <w:vAlign w:val="center"/>
          </w:tcPr>
          <w:p w14:paraId="25B4666F">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大气环境</w:t>
            </w:r>
          </w:p>
        </w:tc>
        <w:tc>
          <w:tcPr>
            <w:tcW w:w="1519" w:type="dxa"/>
            <w:noWrap w:val="0"/>
            <w:vAlign w:val="center"/>
          </w:tcPr>
          <w:p w14:paraId="38D3355E">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cs="Times New Roman"/>
                <w:color w:val="auto"/>
                <w:sz w:val="24"/>
                <w:highlight w:val="none"/>
                <w:lang w:eastAsia="zh-CN"/>
              </w:rPr>
              <w:t>注塑、喷漆</w:t>
            </w:r>
            <w:r>
              <w:rPr>
                <w:rFonts w:hint="eastAsia" w:ascii="Times New Roman" w:hAnsi="Times New Roman" w:eastAsia="宋体" w:cs="Times New Roman"/>
                <w:color w:val="auto"/>
                <w:sz w:val="24"/>
                <w:highlight w:val="none"/>
                <w:lang w:eastAsia="zh-CN"/>
              </w:rPr>
              <w:t>废气</w:t>
            </w:r>
            <w:r>
              <w:rPr>
                <w:rFonts w:ascii="Times New Roman" w:hAnsi="Times New Roman" w:eastAsia="宋体" w:cs="Times New Roman"/>
                <w:color w:val="auto"/>
                <w:sz w:val="24"/>
                <w:highlight w:val="none"/>
              </w:rPr>
              <w:t>DA001</w:t>
            </w:r>
          </w:p>
        </w:tc>
        <w:tc>
          <w:tcPr>
            <w:tcW w:w="1440" w:type="dxa"/>
            <w:noWrap w:val="0"/>
            <w:vAlign w:val="center"/>
          </w:tcPr>
          <w:p w14:paraId="03983125">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cs="Times New Roman"/>
                <w:color w:val="auto"/>
                <w:sz w:val="24"/>
                <w:highlight w:val="none"/>
                <w:lang w:eastAsia="zh-CN"/>
              </w:rPr>
              <w:t>非甲烷总烃、臭气浓度、颗粒物</w:t>
            </w:r>
          </w:p>
        </w:tc>
        <w:tc>
          <w:tcPr>
            <w:tcW w:w="2040" w:type="dxa"/>
            <w:noWrap w:val="0"/>
            <w:vAlign w:val="center"/>
          </w:tcPr>
          <w:p w14:paraId="1890D6AE">
            <w:pPr>
              <w:adjustRightInd w:val="0"/>
              <w:snapToGrid w:val="0"/>
              <w:spacing w:line="240" w:lineRule="auto"/>
              <w:ind w:firstLine="0" w:firstLineChars="0"/>
              <w:jc w:val="center"/>
              <w:rPr>
                <w:rFonts w:hint="default" w:ascii="Times New Roman" w:hAnsi="Times New Roman" w:eastAsia="宋体" w:cs="Times New Roman"/>
                <w:color w:val="auto"/>
                <w:sz w:val="24"/>
                <w:highlight w:val="none"/>
                <w:lang w:val="en-US"/>
              </w:rPr>
            </w:pPr>
            <w:r>
              <w:rPr>
                <w:rFonts w:hint="eastAsia" w:cs="Times New Roman"/>
                <w:color w:val="auto"/>
                <w:sz w:val="24"/>
                <w:highlight w:val="none"/>
                <w:lang w:val="en-US" w:eastAsia="zh-CN"/>
              </w:rPr>
              <w:t>集气罩/负压收集+过滤棉+二级活性炭</w:t>
            </w:r>
            <w:r>
              <w:rPr>
                <w:rFonts w:hint="eastAsia" w:ascii="Times New Roman" w:hAnsi="Times New Roman" w:eastAsia="宋体" w:cs="Times New Roman"/>
                <w:color w:val="auto"/>
                <w:sz w:val="24"/>
                <w:highlight w:val="none"/>
                <w:lang w:val="en-US" w:eastAsia="zh-CN"/>
              </w:rPr>
              <w:t>+15m高排气筒（DA001）</w:t>
            </w:r>
          </w:p>
        </w:tc>
        <w:tc>
          <w:tcPr>
            <w:tcW w:w="2547" w:type="dxa"/>
            <w:vMerge w:val="restart"/>
            <w:noWrap w:val="0"/>
            <w:vAlign w:val="center"/>
          </w:tcPr>
          <w:p w14:paraId="33EF9F2D">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GB" w:eastAsia="zh-CN"/>
              </w:rPr>
              <w:t>《固定源挥发性有机物综合排放标准 第6部分：其他行业》（DB34/ 4812.6—2024）、</w:t>
            </w:r>
            <w:r>
              <w:rPr>
                <w:rFonts w:hint="eastAsia" w:ascii="Times New Roman" w:hAnsi="Times New Roman" w:eastAsia="宋体" w:cs="Times New Roman"/>
                <w:color w:val="auto"/>
                <w:sz w:val="24"/>
                <w:highlight w:val="none"/>
                <w:lang w:val="en-US" w:eastAsia="zh-CN"/>
              </w:rPr>
              <w:t>《恶臭污染物排放标准》（GB14554-93）</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GB" w:eastAsia="zh-CN"/>
              </w:rPr>
              <w:t>《合成树脂工业污染物综合排放标准》(GB31572-2015)</w:t>
            </w:r>
            <w:r>
              <w:rPr>
                <w:rFonts w:hint="eastAsia" w:ascii="Times New Roman" w:hAnsi="Times New Roman" w:eastAsia="宋体" w:cs="Times New Roman"/>
                <w:color w:val="auto"/>
                <w:sz w:val="24"/>
                <w:highlight w:val="none"/>
                <w:lang w:val="en-US" w:eastAsia="zh-CN"/>
              </w:rPr>
              <w:t>准》（GB14554-93）</w:t>
            </w:r>
          </w:p>
        </w:tc>
      </w:tr>
      <w:tr w14:paraId="2D28CE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254" w:type="dxa"/>
            <w:vMerge w:val="continue"/>
            <w:noWrap w:val="0"/>
            <w:vAlign w:val="center"/>
          </w:tcPr>
          <w:p w14:paraId="137B8FB6">
            <w:pPr>
              <w:adjustRightInd w:val="0"/>
              <w:snapToGrid w:val="0"/>
              <w:spacing w:line="240" w:lineRule="auto"/>
              <w:ind w:firstLine="0" w:firstLineChars="0"/>
              <w:jc w:val="center"/>
              <w:rPr>
                <w:rFonts w:ascii="Times New Roman" w:hAnsi="Times New Roman" w:eastAsia="宋体" w:cs="Times New Roman"/>
                <w:color w:val="auto"/>
                <w:sz w:val="24"/>
                <w:highlight w:val="none"/>
              </w:rPr>
            </w:pPr>
          </w:p>
        </w:tc>
        <w:tc>
          <w:tcPr>
            <w:tcW w:w="1519" w:type="dxa"/>
            <w:noWrap w:val="0"/>
            <w:vAlign w:val="center"/>
          </w:tcPr>
          <w:p w14:paraId="214E5E70">
            <w:pPr>
              <w:adjustRightInd w:val="0"/>
              <w:snapToGrid w:val="0"/>
              <w:spacing w:line="240" w:lineRule="auto"/>
              <w:ind w:firstLine="0" w:firstLineChars="0"/>
              <w:jc w:val="center"/>
              <w:rPr>
                <w:rFonts w:hint="default" w:cs="Times New Roman"/>
                <w:color w:val="auto"/>
                <w:sz w:val="24"/>
                <w:highlight w:val="none"/>
                <w:lang w:val="en-US" w:eastAsia="zh-CN"/>
              </w:rPr>
            </w:pPr>
            <w:r>
              <w:rPr>
                <w:rFonts w:hint="eastAsia" w:cs="Times New Roman"/>
                <w:color w:val="auto"/>
                <w:sz w:val="24"/>
                <w:highlight w:val="none"/>
                <w:lang w:val="en-US" w:eastAsia="zh-CN"/>
              </w:rPr>
              <w:t>破碎废气DA002</w:t>
            </w:r>
          </w:p>
        </w:tc>
        <w:tc>
          <w:tcPr>
            <w:tcW w:w="1440" w:type="dxa"/>
            <w:noWrap w:val="0"/>
            <w:vAlign w:val="center"/>
          </w:tcPr>
          <w:p w14:paraId="7BCED9ED">
            <w:pPr>
              <w:adjustRightInd w:val="0"/>
              <w:snapToGrid w:val="0"/>
              <w:spacing w:line="240" w:lineRule="auto"/>
              <w:ind w:firstLine="0" w:firstLineChars="0"/>
              <w:jc w:val="center"/>
              <w:rPr>
                <w:rFonts w:hint="eastAsia" w:cs="Times New Roman"/>
                <w:color w:val="auto"/>
                <w:sz w:val="24"/>
                <w:highlight w:val="none"/>
                <w:lang w:eastAsia="zh-CN"/>
              </w:rPr>
            </w:pPr>
            <w:r>
              <w:rPr>
                <w:rFonts w:hint="eastAsia" w:cs="Times New Roman"/>
                <w:color w:val="auto"/>
                <w:sz w:val="24"/>
                <w:highlight w:val="none"/>
                <w:lang w:eastAsia="zh-CN"/>
              </w:rPr>
              <w:t>颗粒物</w:t>
            </w:r>
          </w:p>
        </w:tc>
        <w:tc>
          <w:tcPr>
            <w:tcW w:w="2040" w:type="dxa"/>
            <w:noWrap w:val="0"/>
            <w:vAlign w:val="center"/>
          </w:tcPr>
          <w:p w14:paraId="7ED800F9">
            <w:pPr>
              <w:adjustRightInd w:val="0"/>
              <w:snapToGrid w:val="0"/>
              <w:spacing w:line="240" w:lineRule="auto"/>
              <w:ind w:firstLine="0" w:firstLineChars="0"/>
              <w:jc w:val="center"/>
              <w:rPr>
                <w:rFonts w:hint="default" w:cs="Times New Roman"/>
                <w:color w:val="auto"/>
                <w:sz w:val="24"/>
                <w:highlight w:val="none"/>
                <w:lang w:val="en-US" w:eastAsia="zh-CN"/>
              </w:rPr>
            </w:pPr>
            <w:r>
              <w:rPr>
                <w:rFonts w:hint="eastAsia" w:cs="Times New Roman"/>
                <w:color w:val="auto"/>
                <w:sz w:val="24"/>
                <w:highlight w:val="none"/>
                <w:lang w:val="en-US" w:eastAsia="zh-CN"/>
              </w:rPr>
              <w:t>集气罩+布袋除尘器+</w:t>
            </w:r>
            <w:r>
              <w:rPr>
                <w:rFonts w:hint="eastAsia" w:ascii="Times New Roman" w:hAnsi="Times New Roman" w:eastAsia="宋体" w:cs="Times New Roman"/>
                <w:color w:val="auto"/>
                <w:sz w:val="24"/>
                <w:highlight w:val="none"/>
                <w:lang w:val="en-US" w:eastAsia="zh-CN"/>
              </w:rPr>
              <w:t>15m高排气筒（DA002）</w:t>
            </w:r>
          </w:p>
        </w:tc>
        <w:tc>
          <w:tcPr>
            <w:tcW w:w="2547" w:type="dxa"/>
            <w:vMerge w:val="continue"/>
            <w:noWrap w:val="0"/>
            <w:vAlign w:val="center"/>
          </w:tcPr>
          <w:p w14:paraId="00F6D4BA">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val="en-GB" w:eastAsia="zh-CN"/>
              </w:rPr>
            </w:pPr>
          </w:p>
        </w:tc>
      </w:tr>
      <w:tr w14:paraId="107E93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54" w:type="dxa"/>
            <w:vMerge w:val="continue"/>
            <w:noWrap w:val="0"/>
            <w:vAlign w:val="center"/>
          </w:tcPr>
          <w:p w14:paraId="27E421AF">
            <w:pPr>
              <w:adjustRightInd w:val="0"/>
              <w:snapToGrid w:val="0"/>
              <w:spacing w:line="240" w:lineRule="auto"/>
              <w:ind w:firstLine="0" w:firstLineChars="0"/>
              <w:jc w:val="center"/>
              <w:rPr>
                <w:rFonts w:ascii="Times New Roman" w:hAnsi="Times New Roman" w:eastAsia="宋体" w:cs="Times New Roman"/>
                <w:color w:val="auto"/>
                <w:sz w:val="24"/>
                <w:highlight w:val="none"/>
              </w:rPr>
            </w:pPr>
          </w:p>
        </w:tc>
        <w:tc>
          <w:tcPr>
            <w:tcW w:w="1519" w:type="dxa"/>
            <w:noWrap w:val="0"/>
            <w:vAlign w:val="center"/>
          </w:tcPr>
          <w:p w14:paraId="029A56A8">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厂区内监控点</w:t>
            </w:r>
          </w:p>
        </w:tc>
        <w:tc>
          <w:tcPr>
            <w:tcW w:w="1440" w:type="dxa"/>
            <w:noWrap w:val="0"/>
            <w:vAlign w:val="center"/>
          </w:tcPr>
          <w:p w14:paraId="360B509D">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非甲烷总烃</w:t>
            </w:r>
          </w:p>
        </w:tc>
        <w:tc>
          <w:tcPr>
            <w:tcW w:w="2040" w:type="dxa"/>
            <w:noWrap w:val="0"/>
            <w:vAlign w:val="center"/>
          </w:tcPr>
          <w:p w14:paraId="1A99FBAD">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加强管理，车间封闭</w:t>
            </w:r>
          </w:p>
        </w:tc>
        <w:tc>
          <w:tcPr>
            <w:tcW w:w="2547" w:type="dxa"/>
            <w:vMerge w:val="continue"/>
            <w:noWrap w:val="0"/>
            <w:vAlign w:val="center"/>
          </w:tcPr>
          <w:p w14:paraId="15604FFC">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rPr>
            </w:pPr>
          </w:p>
        </w:tc>
      </w:tr>
      <w:tr w14:paraId="0BA34A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254" w:type="dxa"/>
            <w:vMerge w:val="continue"/>
            <w:noWrap w:val="0"/>
            <w:vAlign w:val="center"/>
          </w:tcPr>
          <w:p w14:paraId="73E4F6F8">
            <w:pPr>
              <w:adjustRightInd w:val="0"/>
              <w:snapToGrid w:val="0"/>
              <w:spacing w:line="240" w:lineRule="auto"/>
              <w:ind w:firstLine="0" w:firstLineChars="0"/>
              <w:jc w:val="center"/>
              <w:rPr>
                <w:rFonts w:ascii="Times New Roman" w:hAnsi="Times New Roman" w:eastAsia="宋体" w:cs="Times New Roman"/>
                <w:color w:val="auto"/>
                <w:sz w:val="24"/>
                <w:highlight w:val="none"/>
              </w:rPr>
            </w:pPr>
          </w:p>
        </w:tc>
        <w:tc>
          <w:tcPr>
            <w:tcW w:w="1519" w:type="dxa"/>
            <w:noWrap w:val="0"/>
            <w:vAlign w:val="center"/>
          </w:tcPr>
          <w:p w14:paraId="584BC3FF">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厂界</w:t>
            </w:r>
          </w:p>
        </w:tc>
        <w:tc>
          <w:tcPr>
            <w:tcW w:w="1440" w:type="dxa"/>
            <w:noWrap w:val="0"/>
            <w:vAlign w:val="center"/>
          </w:tcPr>
          <w:p w14:paraId="31AD91E3">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cs="Times New Roman"/>
                <w:color w:val="auto"/>
                <w:sz w:val="24"/>
                <w:highlight w:val="none"/>
                <w:lang w:eastAsia="zh-CN"/>
              </w:rPr>
              <w:t>颗粒物、</w:t>
            </w:r>
            <w:r>
              <w:rPr>
                <w:rFonts w:hint="eastAsia" w:ascii="Times New Roman" w:hAnsi="Times New Roman" w:eastAsia="宋体" w:cs="Times New Roman"/>
                <w:color w:val="auto"/>
                <w:sz w:val="24"/>
                <w:highlight w:val="none"/>
                <w:lang w:eastAsia="zh-CN"/>
              </w:rPr>
              <w:t>非甲烷总烃</w:t>
            </w:r>
            <w:r>
              <w:rPr>
                <w:rFonts w:hint="eastAsia" w:cs="Times New Roman"/>
                <w:color w:val="auto"/>
                <w:sz w:val="24"/>
                <w:highlight w:val="none"/>
                <w:lang w:eastAsia="zh-CN"/>
              </w:rPr>
              <w:t>、臭气浓度</w:t>
            </w:r>
          </w:p>
        </w:tc>
        <w:tc>
          <w:tcPr>
            <w:tcW w:w="2040" w:type="dxa"/>
            <w:noWrap w:val="0"/>
            <w:vAlign w:val="center"/>
          </w:tcPr>
          <w:p w14:paraId="74D20034">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加强管理，车间封闭</w:t>
            </w:r>
          </w:p>
        </w:tc>
        <w:tc>
          <w:tcPr>
            <w:tcW w:w="2547" w:type="dxa"/>
            <w:vMerge w:val="continue"/>
            <w:noWrap w:val="0"/>
            <w:vAlign w:val="center"/>
          </w:tcPr>
          <w:p w14:paraId="6EF95117">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rPr>
            </w:pPr>
          </w:p>
        </w:tc>
      </w:tr>
      <w:tr w14:paraId="787B2A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254" w:type="dxa"/>
            <w:noWrap w:val="0"/>
            <w:vAlign w:val="center"/>
          </w:tcPr>
          <w:p w14:paraId="4D0BF8A2">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地表水环境</w:t>
            </w:r>
          </w:p>
        </w:tc>
        <w:tc>
          <w:tcPr>
            <w:tcW w:w="1519" w:type="dxa"/>
            <w:noWrap w:val="0"/>
            <w:vAlign w:val="center"/>
          </w:tcPr>
          <w:p w14:paraId="6CACF238">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生活</w:t>
            </w:r>
            <w:r>
              <w:rPr>
                <w:rFonts w:hint="eastAsia" w:cs="Times New Roman"/>
                <w:color w:val="auto"/>
                <w:sz w:val="24"/>
                <w:highlight w:val="none"/>
                <w:lang w:eastAsia="zh-CN"/>
              </w:rPr>
              <w:t>污水、循环冷却水</w:t>
            </w:r>
          </w:p>
        </w:tc>
        <w:tc>
          <w:tcPr>
            <w:tcW w:w="1440" w:type="dxa"/>
            <w:noWrap w:val="0"/>
            <w:vAlign w:val="center"/>
          </w:tcPr>
          <w:p w14:paraId="33B4B59A">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COD</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BOD</w:t>
            </w:r>
            <w:r>
              <w:rPr>
                <w:rFonts w:hint="eastAsia" w:ascii="Times New Roman" w:hAnsi="Times New Roman" w:eastAsia="宋体" w:cs="Times New Roman"/>
                <w:color w:val="auto"/>
                <w:sz w:val="24"/>
                <w:highlight w:val="none"/>
                <w:vertAlign w:val="subscript"/>
              </w:rPr>
              <w:t>5</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SS</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NH</w:t>
            </w:r>
            <w:r>
              <w:rPr>
                <w:rFonts w:hint="eastAsia" w:ascii="Times New Roman" w:hAnsi="Times New Roman" w:eastAsia="宋体" w:cs="Times New Roman"/>
                <w:color w:val="auto"/>
                <w:sz w:val="24"/>
                <w:highlight w:val="none"/>
                <w:vertAlign w:val="subscript"/>
              </w:rPr>
              <w:t>3</w:t>
            </w:r>
            <w:r>
              <w:rPr>
                <w:rFonts w:hint="eastAsia" w:ascii="Times New Roman" w:hAnsi="Times New Roman" w:eastAsia="宋体" w:cs="Times New Roman"/>
                <w:color w:val="auto"/>
                <w:sz w:val="24"/>
                <w:highlight w:val="none"/>
              </w:rPr>
              <w:t>-N</w:t>
            </w:r>
          </w:p>
        </w:tc>
        <w:tc>
          <w:tcPr>
            <w:tcW w:w="2040" w:type="dxa"/>
            <w:noWrap w:val="0"/>
            <w:vAlign w:val="center"/>
          </w:tcPr>
          <w:p w14:paraId="3EEDDFC9">
            <w:pPr>
              <w:adjustRightInd w:val="0"/>
              <w:snapToGrid w:val="0"/>
              <w:spacing w:line="240" w:lineRule="auto"/>
              <w:ind w:firstLine="0" w:firstLineChars="0"/>
              <w:jc w:val="center"/>
              <w:rPr>
                <w:rFonts w:hint="eastAsia" w:ascii="Times New Roman" w:hAnsi="Times New Roman" w:eastAsia="宋体" w:cs="Times New Roman"/>
                <w:color w:val="auto"/>
                <w:sz w:val="24"/>
                <w:highlight w:val="none"/>
                <w:lang w:eastAsia="zh-CN"/>
              </w:rPr>
            </w:pPr>
            <w:r>
              <w:rPr>
                <w:rFonts w:hint="eastAsia" w:ascii="Times New Roman" w:hAnsi="Times New Roman" w:eastAsia="宋体" w:cs="宋体"/>
                <w:bCs/>
                <w:color w:val="auto"/>
                <w:szCs w:val="21"/>
                <w:highlight w:val="none"/>
                <w:lang w:val="en-US" w:eastAsia="zh-CN"/>
              </w:rPr>
              <w:t>生活污水经化粪池处理后</w:t>
            </w:r>
            <w:r>
              <w:rPr>
                <w:rFonts w:hint="eastAsia" w:cs="宋体"/>
                <w:bCs/>
                <w:color w:val="auto"/>
                <w:szCs w:val="21"/>
                <w:highlight w:val="none"/>
                <w:lang w:val="en-US" w:eastAsia="zh-CN"/>
              </w:rPr>
              <w:t>与循环冷却水一同</w:t>
            </w:r>
            <w:r>
              <w:rPr>
                <w:rFonts w:hint="eastAsia" w:ascii="Times New Roman" w:hAnsi="Times New Roman" w:eastAsia="宋体" w:cs="宋体"/>
                <w:bCs/>
                <w:color w:val="auto"/>
                <w:szCs w:val="21"/>
                <w:highlight w:val="none"/>
                <w:lang w:val="en-US" w:eastAsia="zh-CN"/>
              </w:rPr>
              <w:t>进入厂区污水总排口，通过市政污水管网进入蚌埠市第二污水处理厂</w:t>
            </w:r>
          </w:p>
        </w:tc>
        <w:tc>
          <w:tcPr>
            <w:tcW w:w="2547" w:type="dxa"/>
            <w:noWrap w:val="0"/>
            <w:vAlign w:val="center"/>
          </w:tcPr>
          <w:p w14:paraId="19993540">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《污水综合排放标准》（</w:t>
            </w:r>
            <w:r>
              <w:rPr>
                <w:rFonts w:ascii="Times New Roman" w:hAnsi="Times New Roman" w:eastAsia="宋体" w:cs="Times New Roman"/>
                <w:color w:val="auto"/>
                <w:sz w:val="24"/>
                <w:highlight w:val="none"/>
              </w:rPr>
              <w:t>GB8978-1996</w:t>
            </w:r>
            <w:r>
              <w:rPr>
                <w:rFonts w:hint="eastAsia" w:ascii="Times New Roman" w:hAnsi="Times New Roman" w:eastAsia="宋体" w:cs="Times New Roman"/>
                <w:color w:val="auto"/>
                <w:sz w:val="24"/>
                <w:highlight w:val="none"/>
              </w:rPr>
              <w:t>）中三级标准、</w:t>
            </w:r>
            <w:r>
              <w:rPr>
                <w:rFonts w:hint="eastAsia" w:ascii="Times New Roman" w:hAnsi="Times New Roman" w:eastAsia="宋体" w:cs="Times New Roman"/>
                <w:color w:val="auto"/>
                <w:sz w:val="24"/>
                <w:highlight w:val="none"/>
                <w:lang w:val="en-US" w:eastAsia="zh-CN"/>
              </w:rPr>
              <w:t>蚌埠市第二污水处理厂接管标准</w:t>
            </w:r>
          </w:p>
        </w:tc>
      </w:tr>
      <w:tr w14:paraId="404D9B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54" w:type="dxa"/>
            <w:noWrap w:val="0"/>
            <w:vAlign w:val="center"/>
          </w:tcPr>
          <w:p w14:paraId="36FBD98F">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声环境</w:t>
            </w:r>
          </w:p>
        </w:tc>
        <w:tc>
          <w:tcPr>
            <w:tcW w:w="1519" w:type="dxa"/>
            <w:noWrap w:val="0"/>
            <w:vAlign w:val="center"/>
          </w:tcPr>
          <w:p w14:paraId="27955810">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设备运行</w:t>
            </w:r>
          </w:p>
        </w:tc>
        <w:tc>
          <w:tcPr>
            <w:tcW w:w="1440" w:type="dxa"/>
            <w:tcBorders>
              <w:top w:val="single" w:color="auto" w:sz="8" w:space="0"/>
              <w:left w:val="single" w:color="auto" w:sz="8" w:space="0"/>
              <w:bottom w:val="single" w:color="auto" w:sz="8" w:space="0"/>
              <w:right w:val="single" w:color="auto" w:sz="4" w:space="0"/>
            </w:tcBorders>
            <w:noWrap w:val="0"/>
            <w:vAlign w:val="center"/>
          </w:tcPr>
          <w:p w14:paraId="4D8807DB">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等效A声级</w:t>
            </w:r>
          </w:p>
        </w:tc>
        <w:tc>
          <w:tcPr>
            <w:tcW w:w="2040" w:type="dxa"/>
            <w:tcBorders>
              <w:top w:val="single" w:color="auto" w:sz="8" w:space="0"/>
              <w:left w:val="single" w:color="auto" w:sz="4" w:space="0"/>
              <w:bottom w:val="single" w:color="auto" w:sz="8" w:space="0"/>
              <w:right w:val="single" w:color="auto" w:sz="4" w:space="0"/>
            </w:tcBorders>
            <w:noWrap w:val="0"/>
            <w:vAlign w:val="center"/>
          </w:tcPr>
          <w:p w14:paraId="3358B28E">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厂房隔声、基础减振、隔声罩</w:t>
            </w:r>
          </w:p>
        </w:tc>
        <w:tc>
          <w:tcPr>
            <w:tcW w:w="2547" w:type="dxa"/>
            <w:tcBorders>
              <w:top w:val="single" w:color="auto" w:sz="8" w:space="0"/>
              <w:left w:val="single" w:color="auto" w:sz="4" w:space="0"/>
              <w:bottom w:val="single" w:color="auto" w:sz="8" w:space="0"/>
              <w:right w:val="single" w:color="auto" w:sz="8" w:space="0"/>
            </w:tcBorders>
            <w:noWrap w:val="0"/>
            <w:vAlign w:val="center"/>
          </w:tcPr>
          <w:p w14:paraId="2A95206E">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《工业企业厂界环境噪声排放标准》（GB12348-2008）中的3类标准</w:t>
            </w:r>
          </w:p>
        </w:tc>
      </w:tr>
      <w:tr w14:paraId="0471BB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54" w:type="dxa"/>
            <w:noWrap w:val="0"/>
            <w:vAlign w:val="center"/>
          </w:tcPr>
          <w:p w14:paraId="536BE656">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电磁辐射</w:t>
            </w:r>
          </w:p>
        </w:tc>
        <w:tc>
          <w:tcPr>
            <w:tcW w:w="1519" w:type="dxa"/>
            <w:noWrap w:val="0"/>
            <w:vAlign w:val="center"/>
          </w:tcPr>
          <w:p w14:paraId="30C023A6">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tc>
        <w:tc>
          <w:tcPr>
            <w:tcW w:w="1440" w:type="dxa"/>
            <w:noWrap w:val="0"/>
            <w:vAlign w:val="center"/>
          </w:tcPr>
          <w:p w14:paraId="599E2186">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tc>
        <w:tc>
          <w:tcPr>
            <w:tcW w:w="2040" w:type="dxa"/>
            <w:noWrap w:val="0"/>
            <w:vAlign w:val="center"/>
          </w:tcPr>
          <w:p w14:paraId="5A0A246C">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tc>
        <w:tc>
          <w:tcPr>
            <w:tcW w:w="2547" w:type="dxa"/>
            <w:noWrap w:val="0"/>
            <w:vAlign w:val="center"/>
          </w:tcPr>
          <w:p w14:paraId="37113ECB">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tc>
      </w:tr>
      <w:tr w14:paraId="3440A9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4" w:type="dxa"/>
            <w:noWrap w:val="0"/>
            <w:vAlign w:val="center"/>
          </w:tcPr>
          <w:p w14:paraId="28E2F6F9">
            <w:pPr>
              <w:adjustRightInd w:val="0"/>
              <w:snapToGrid w:val="0"/>
              <w:spacing w:line="240" w:lineRule="auto"/>
              <w:ind w:firstLine="0" w:firstLineChars="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固体废物</w:t>
            </w:r>
          </w:p>
        </w:tc>
        <w:tc>
          <w:tcPr>
            <w:tcW w:w="7546" w:type="dxa"/>
            <w:gridSpan w:val="4"/>
            <w:noWrap w:val="0"/>
            <w:vAlign w:val="center"/>
          </w:tcPr>
          <w:p w14:paraId="6C8BD750">
            <w:pPr>
              <w:adjustRightInd w:val="0"/>
              <w:snapToGrid w:val="0"/>
              <w:spacing w:line="24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fldChar w:fldCharType="begin"/>
            </w:r>
            <w:r>
              <w:rPr>
                <w:rFonts w:ascii="Times New Roman" w:hAnsi="Times New Roman" w:eastAsia="宋体" w:cs="Times New Roman"/>
                <w:color w:val="auto"/>
                <w:sz w:val="24"/>
                <w:highlight w:val="none"/>
              </w:rPr>
              <w:instrText xml:space="preserve"> = 1 \* GB3 </w:instrText>
            </w:r>
            <w:r>
              <w:rPr>
                <w:rFonts w:ascii="Times New Roman" w:hAnsi="Times New Roman" w:eastAsia="宋体" w:cs="Times New Roman"/>
                <w:color w:val="auto"/>
                <w:sz w:val="24"/>
                <w:highlight w:val="none"/>
              </w:rPr>
              <w:fldChar w:fldCharType="separate"/>
            </w:r>
            <w:r>
              <w:rPr>
                <w:rFonts w:ascii="Times New Roman" w:hAnsi="Times New Roman" w:eastAsia="宋体" w:cs="Times New Roman"/>
                <w:color w:val="auto"/>
                <w:sz w:val="24"/>
                <w:highlight w:val="none"/>
              </w:rPr>
              <w:t>①</w:t>
            </w:r>
            <w:r>
              <w:rPr>
                <w:rFonts w:ascii="Times New Roman" w:hAnsi="Times New Roman" w:eastAsia="宋体" w:cs="Times New Roman"/>
                <w:color w:val="auto"/>
                <w:sz w:val="24"/>
                <w:highlight w:val="none"/>
              </w:rPr>
              <w:fldChar w:fldCharType="end"/>
            </w:r>
            <w:r>
              <w:rPr>
                <w:rFonts w:ascii="Times New Roman" w:hAnsi="Times New Roman" w:eastAsia="宋体" w:cs="Times New Roman"/>
                <w:color w:val="auto"/>
                <w:sz w:val="24"/>
                <w:highlight w:val="none"/>
              </w:rPr>
              <w:t>危险废物：</w:t>
            </w:r>
          </w:p>
          <w:p w14:paraId="1209F6F1">
            <w:pPr>
              <w:adjustRightInd w:val="0"/>
              <w:snapToGrid w:val="0"/>
              <w:spacing w:line="24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废活性炭（废气处理）</w:t>
            </w:r>
            <w:r>
              <w:rPr>
                <w:rFonts w:hint="eastAsia" w:cs="Times New Roman"/>
                <w:color w:val="auto"/>
                <w:sz w:val="24"/>
                <w:highlight w:val="none"/>
                <w:lang w:eastAsia="zh-CN"/>
              </w:rPr>
              <w:t>、废过滤棉、废润滑油</w:t>
            </w:r>
            <w:r>
              <w:rPr>
                <w:rFonts w:hint="eastAsia" w:ascii="Times New Roman" w:hAnsi="Times New Roman" w:eastAsia="宋体" w:cs="Times New Roman"/>
                <w:color w:val="auto"/>
                <w:sz w:val="24"/>
                <w:highlight w:val="none"/>
                <w:lang w:eastAsia="zh-CN"/>
              </w:rPr>
              <w:t>、废油桶</w:t>
            </w:r>
            <w:r>
              <w:rPr>
                <w:rFonts w:hint="eastAsia" w:cs="Times New Roman"/>
                <w:color w:val="auto"/>
                <w:sz w:val="24"/>
                <w:highlight w:val="none"/>
                <w:lang w:eastAsia="zh-CN"/>
              </w:rPr>
              <w:t>和含油抹布及手套</w:t>
            </w:r>
            <w:r>
              <w:rPr>
                <w:rFonts w:hint="eastAsia" w:ascii="Times New Roman" w:hAnsi="Times New Roman" w:eastAsia="宋体" w:cs="Times New Roman"/>
                <w:color w:val="auto"/>
                <w:sz w:val="24"/>
                <w:highlight w:val="none"/>
              </w:rPr>
              <w:t>定期交由</w:t>
            </w:r>
            <w:r>
              <w:rPr>
                <w:rFonts w:ascii="Times New Roman" w:hAnsi="Times New Roman" w:eastAsia="宋体" w:cs="Times New Roman"/>
                <w:color w:val="auto"/>
                <w:sz w:val="24"/>
                <w:highlight w:val="none"/>
              </w:rPr>
              <w:t>有资质单位</w:t>
            </w:r>
            <w:r>
              <w:rPr>
                <w:rFonts w:hint="eastAsia" w:ascii="Times New Roman" w:hAnsi="Times New Roman" w:eastAsia="宋体" w:cs="Times New Roman"/>
                <w:color w:val="auto"/>
                <w:sz w:val="24"/>
                <w:highlight w:val="none"/>
              </w:rPr>
              <w:t>处置</w:t>
            </w:r>
            <w:r>
              <w:rPr>
                <w:rFonts w:hint="eastAsia" w:ascii="Times New Roman" w:hAnsi="Times New Roman" w:eastAsia="宋体" w:cs="Times New Roman"/>
                <w:bCs/>
                <w:color w:val="auto"/>
                <w:sz w:val="24"/>
                <w:highlight w:val="none"/>
                <w:lang w:val="en-US" w:eastAsia="zh-CN"/>
              </w:rPr>
              <w:t>。</w:t>
            </w:r>
          </w:p>
          <w:p w14:paraId="1DE99C09">
            <w:pPr>
              <w:adjustRightInd w:val="0"/>
              <w:snapToGrid w:val="0"/>
              <w:spacing w:line="240" w:lineRule="auto"/>
              <w:ind w:firstLine="480" w:firstLineChars="200"/>
              <w:jc w:val="left"/>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②一般工业固体废物：</w:t>
            </w:r>
            <w:r>
              <w:rPr>
                <w:rFonts w:hint="eastAsia" w:ascii="Times New Roman" w:hAnsi="Times New Roman" w:eastAsia="宋体" w:cs="Times New Roman"/>
                <w:color w:val="auto"/>
                <w:sz w:val="24"/>
                <w:highlight w:val="none"/>
                <w:lang w:val="en-US" w:eastAsia="zh-CN"/>
              </w:rPr>
              <w:t>废包装材料</w:t>
            </w:r>
            <w:r>
              <w:rPr>
                <w:rFonts w:hint="eastAsia" w:cs="Times New Roman"/>
                <w:color w:val="auto"/>
                <w:sz w:val="24"/>
                <w:highlight w:val="none"/>
                <w:lang w:val="en-US" w:eastAsia="zh-CN"/>
              </w:rPr>
              <w:t>、废水性漆桶、废水性漆渣</w:t>
            </w:r>
            <w:r>
              <w:rPr>
                <w:rFonts w:hint="default" w:ascii="Times New Roman" w:hAnsi="Times New Roman" w:eastAsia="宋体" w:cs="Times New Roman"/>
                <w:color w:val="auto"/>
                <w:sz w:val="24"/>
                <w:highlight w:val="none"/>
              </w:rPr>
              <w:t>集中收集于一般固废间后外售</w:t>
            </w:r>
            <w:r>
              <w:rPr>
                <w:rFonts w:hint="eastAsia" w:cs="Times New Roman"/>
                <w:color w:val="auto"/>
                <w:sz w:val="24"/>
                <w:highlight w:val="none"/>
                <w:lang w:val="en-US" w:eastAsia="zh-CN"/>
              </w:rPr>
              <w:t>。</w:t>
            </w:r>
          </w:p>
          <w:p w14:paraId="2AEA64B2">
            <w:pPr>
              <w:adjustRightInd w:val="0"/>
              <w:snapToGrid w:val="0"/>
              <w:spacing w:line="24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③生活垃圾交由环卫部门统一收集清运处理。</w:t>
            </w:r>
          </w:p>
        </w:tc>
      </w:tr>
      <w:tr w14:paraId="0BDE24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1254" w:type="dxa"/>
            <w:noWrap w:val="0"/>
            <w:vAlign w:val="center"/>
          </w:tcPr>
          <w:p w14:paraId="7F139A32">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土壤及地下水污染防治措施</w:t>
            </w:r>
          </w:p>
        </w:tc>
        <w:tc>
          <w:tcPr>
            <w:tcW w:w="7546" w:type="dxa"/>
            <w:gridSpan w:val="4"/>
            <w:noWrap w:val="0"/>
            <w:vAlign w:val="center"/>
          </w:tcPr>
          <w:p w14:paraId="17989EC5">
            <w:pPr>
              <w:adjustRightInd w:val="0"/>
              <w:snapToGrid w:val="0"/>
              <w:spacing w:line="240" w:lineRule="auto"/>
              <w:ind w:firstLine="480" w:firstLineChars="20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危废暂存间</w:t>
            </w:r>
            <w:r>
              <w:rPr>
                <w:rFonts w:hint="eastAsia" w:cs="Times New Roman"/>
                <w:color w:val="auto"/>
                <w:sz w:val="24"/>
                <w:highlight w:val="none"/>
                <w:lang w:eastAsia="zh-CN"/>
              </w:rPr>
              <w:t>、喷漆房</w:t>
            </w:r>
            <w:r>
              <w:rPr>
                <w:rFonts w:hint="eastAsia" w:ascii="Times New Roman" w:hAnsi="Times New Roman" w:eastAsia="宋体" w:cs="Times New Roman"/>
                <w:color w:val="auto"/>
                <w:sz w:val="24"/>
                <w:highlight w:val="none"/>
                <w:lang w:eastAsia="zh-CN"/>
              </w:rPr>
              <w:t>重点防渗处理</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其余区域为简单防渗</w:t>
            </w:r>
            <w:r>
              <w:rPr>
                <w:rFonts w:hint="eastAsia" w:ascii="Times New Roman" w:hAnsi="Times New Roman" w:eastAsia="宋体" w:cs="Times New Roman"/>
                <w:color w:val="auto"/>
                <w:sz w:val="24"/>
                <w:highlight w:val="none"/>
              </w:rPr>
              <w:t>。</w:t>
            </w:r>
          </w:p>
        </w:tc>
      </w:tr>
      <w:tr w14:paraId="7A1CE7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254" w:type="dxa"/>
            <w:noWrap w:val="0"/>
            <w:vAlign w:val="center"/>
          </w:tcPr>
          <w:p w14:paraId="7E169C79">
            <w:pPr>
              <w:adjustRightInd w:val="0"/>
              <w:snapToGrid w:val="0"/>
              <w:spacing w:line="240" w:lineRule="auto"/>
              <w:ind w:firstLine="0" w:firstLineChars="0"/>
              <w:jc w:val="center"/>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生态保护措施</w:t>
            </w:r>
          </w:p>
        </w:tc>
        <w:tc>
          <w:tcPr>
            <w:tcW w:w="7546" w:type="dxa"/>
            <w:gridSpan w:val="4"/>
            <w:noWrap w:val="0"/>
            <w:vAlign w:val="center"/>
          </w:tcPr>
          <w:p w14:paraId="2EE82F22">
            <w:pPr>
              <w:adjustRightInd w:val="0"/>
              <w:snapToGrid w:val="0"/>
              <w:spacing w:line="240" w:lineRule="auto"/>
              <w:ind w:firstLine="480" w:firstLineChars="20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本项目建设地点位于</w:t>
            </w:r>
            <w:r>
              <w:rPr>
                <w:rFonts w:hint="eastAsia" w:cs="Times New Roman"/>
                <w:color w:val="auto"/>
                <w:sz w:val="24"/>
                <w:highlight w:val="none"/>
                <w:lang w:val="en-US" w:eastAsia="zh-CN"/>
              </w:rPr>
              <w:t>安徽省蚌埠市龙子湖区李楼乡胜利东路199号（厂区东片）</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产业园区外</w:t>
            </w:r>
            <w:r>
              <w:rPr>
                <w:rFonts w:hint="eastAsia" w:ascii="Times New Roman" w:hAnsi="Times New Roman" w:eastAsia="宋体" w:cs="Times New Roman"/>
                <w:color w:val="auto"/>
                <w:sz w:val="24"/>
                <w:highlight w:val="none"/>
              </w:rPr>
              <w:t>不新增</w:t>
            </w:r>
            <w:r>
              <w:rPr>
                <w:rFonts w:hint="eastAsia" w:ascii="Times New Roman" w:hAnsi="Times New Roman" w:eastAsia="宋体" w:cs="Times New Roman"/>
                <w:color w:val="auto"/>
                <w:sz w:val="24"/>
                <w:highlight w:val="none"/>
                <w:lang w:eastAsia="zh-CN"/>
              </w:rPr>
              <w:t>用</w:t>
            </w:r>
            <w:r>
              <w:rPr>
                <w:rFonts w:hint="eastAsia" w:ascii="Times New Roman" w:hAnsi="Times New Roman" w:eastAsia="宋体" w:cs="Times New Roman"/>
                <w:color w:val="auto"/>
                <w:sz w:val="24"/>
                <w:highlight w:val="none"/>
              </w:rPr>
              <w:t>地</w:t>
            </w:r>
            <w:r>
              <w:rPr>
                <w:rFonts w:ascii="Times New Roman" w:hAnsi="Times New Roman" w:eastAsia="宋体" w:cs="Times New Roman"/>
                <w:color w:val="auto"/>
                <w:sz w:val="24"/>
                <w:highlight w:val="none"/>
              </w:rPr>
              <w:t>。</w:t>
            </w:r>
          </w:p>
        </w:tc>
      </w:tr>
      <w:tr w14:paraId="42F0B9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254" w:type="dxa"/>
            <w:noWrap w:val="0"/>
            <w:vAlign w:val="center"/>
          </w:tcPr>
          <w:p w14:paraId="1E3B1600">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环境风险</w:t>
            </w:r>
          </w:p>
          <w:p w14:paraId="5706D01D">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防范措施</w:t>
            </w:r>
          </w:p>
        </w:tc>
        <w:tc>
          <w:tcPr>
            <w:tcW w:w="7546" w:type="dxa"/>
            <w:gridSpan w:val="4"/>
            <w:noWrap w:val="0"/>
            <w:vAlign w:val="center"/>
          </w:tcPr>
          <w:p w14:paraId="351E4761">
            <w:pPr>
              <w:adjustRightInd w:val="0"/>
              <w:snapToGrid w:val="0"/>
              <w:spacing w:line="240" w:lineRule="auto"/>
              <w:ind w:firstLine="480" w:firstLineChars="20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总图布置和建筑安全防范措施；可燃易燃品储运防范措施；环境安全管理措施；固废事故风险防范措施；废气事故排放风险防范措施。建设单位应及时编制企业突发事件应急预案</w:t>
            </w:r>
            <w:r>
              <w:rPr>
                <w:rFonts w:hint="eastAsia" w:ascii="Times New Roman" w:hAnsi="Times New Roman" w:eastAsia="宋体" w:cs="Times New Roman"/>
                <w:color w:val="auto"/>
                <w:sz w:val="24"/>
                <w:highlight w:val="none"/>
              </w:rPr>
              <w:t>并</w:t>
            </w:r>
            <w:r>
              <w:rPr>
                <w:rFonts w:ascii="Times New Roman" w:hAnsi="Times New Roman" w:eastAsia="宋体" w:cs="Times New Roman"/>
                <w:color w:val="auto"/>
                <w:sz w:val="24"/>
                <w:highlight w:val="none"/>
              </w:rPr>
              <w:t>备案。</w:t>
            </w:r>
          </w:p>
        </w:tc>
      </w:tr>
      <w:tr w14:paraId="22AB43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254" w:type="dxa"/>
            <w:noWrap w:val="0"/>
            <w:vAlign w:val="center"/>
          </w:tcPr>
          <w:p w14:paraId="1CF67064">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其他环境</w:t>
            </w:r>
          </w:p>
          <w:p w14:paraId="08B46948">
            <w:pPr>
              <w:adjustRightInd w:val="0"/>
              <w:snapToGrid w:val="0"/>
              <w:spacing w:line="240" w:lineRule="auto"/>
              <w:ind w:firstLine="0" w:firstLineChars="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管理要求</w:t>
            </w:r>
          </w:p>
        </w:tc>
        <w:tc>
          <w:tcPr>
            <w:tcW w:w="7546" w:type="dxa"/>
            <w:gridSpan w:val="4"/>
            <w:noWrap w:val="0"/>
            <w:vAlign w:val="center"/>
          </w:tcPr>
          <w:p w14:paraId="395F7202">
            <w:pPr>
              <w:adjustRightInd w:val="0"/>
              <w:snapToGrid w:val="0"/>
              <w:spacing w:line="360" w:lineRule="auto"/>
              <w:ind w:firstLine="0" w:firstLineChars="0"/>
              <w:jc w:val="left"/>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1、排污口规范化设置</w:t>
            </w:r>
          </w:p>
          <w:p w14:paraId="1060A0A8">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（1）污水排放口规范化设置</w:t>
            </w:r>
          </w:p>
          <w:p w14:paraId="26B916D5">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项目建设项目雨水排放口和污水排放口。项目厂区的排水体制实施“雨污分流”制，设置1处污水排口，污水排口已设立环境保护图形标志牌，并按要求进行标识，以及在适当位置设置便于采样、监测的采样口。</w:t>
            </w:r>
          </w:p>
          <w:p w14:paraId="537D7A35">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（2）废气排气筒规范化设置</w:t>
            </w:r>
          </w:p>
          <w:p w14:paraId="2B6144E8">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项目建设项目废气排放口。现有项目已在排气筒附近醒目处设立环境保护图形标志牌，按要求加以标识（排气筒高度、出口内径、排放污染物种类等）。已在适当位置设置便于采样、监测的采样口和采样平台。排污口规范化整治，符合国家、省、市有关规定，并通过主管环保部门认证和验收。</w:t>
            </w:r>
          </w:p>
          <w:p w14:paraId="23AF1E2C">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（3）固定噪声污染源规范化标志牌设置</w:t>
            </w:r>
          </w:p>
          <w:p w14:paraId="67D1E20C">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固定噪声污染源对边界影响最大处，应设置噪声监测点，根据上述原则并兼顾厂界形状，在边界上设置噪声监测点同时设置标志牌。</w:t>
            </w:r>
          </w:p>
          <w:p w14:paraId="17022702">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（4）固体废物贮存（处置）场所</w:t>
            </w:r>
          </w:p>
          <w:p w14:paraId="33FA1806">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本项目危废暂存库，</w:t>
            </w:r>
            <w:r>
              <w:rPr>
                <w:rFonts w:hint="eastAsia" w:ascii="Times New Roman" w:hAnsi="Times New Roman" w:eastAsia="宋体" w:cs="Times New Roman"/>
                <w:color w:val="auto"/>
                <w:sz w:val="24"/>
                <w:highlight w:val="none"/>
                <w:lang w:eastAsia="zh-CN"/>
              </w:rPr>
              <w:t>依据</w:t>
            </w:r>
            <w:r>
              <w:rPr>
                <w:rFonts w:ascii="Times New Roman" w:hAnsi="Times New Roman" w:eastAsia="宋体" w:cs="Times New Roman"/>
                <w:color w:val="auto"/>
                <w:sz w:val="24"/>
                <w:highlight w:val="none"/>
              </w:rPr>
              <w:t>《环境保护图形标志－固体废物贮存（处置）场》（GB15562.2－1995）及修改单的要求设置环境保护图形标志，标志牌设在与之功能相应的醒目处，标志牌清晰、完整。一般固体废物厂内暂存应满足《一般工业固体废物贮存和填埋污染控制标准》（GB18599-2020）的要求，危险废物厂内暂存满足《危险废物贮存污染控制标准》（GB 18597—2023）的要求。</w:t>
            </w:r>
          </w:p>
          <w:p w14:paraId="73DBF99A">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为了公众监督管理，按照《环境保护图形标志》(GB15562.1—1995；GB15562.2—1995及修改单)、</w:t>
            </w:r>
            <w:r>
              <w:rPr>
                <w:rFonts w:hint="eastAsia" w:ascii="Times New Roman" w:hAnsi="Times New Roman" w:eastAsia="宋体" w:cs="Times New Roman"/>
                <w:color w:val="auto"/>
                <w:sz w:val="24"/>
                <w:highlight w:val="none"/>
              </w:rPr>
              <w:t>《危险废物识别标志设置技术规范》HJ 1276—2022、</w:t>
            </w:r>
            <w:r>
              <w:rPr>
                <w:rFonts w:ascii="Times New Roman" w:hAnsi="Times New Roman" w:eastAsia="宋体" w:cs="Times New Roman"/>
                <w:color w:val="auto"/>
                <w:sz w:val="24"/>
                <w:highlight w:val="none"/>
              </w:rPr>
              <w:t>《〈环境保护图形标志〉实施细则（试行）》（环监[1996]463号）的规定，在各排污口设立相应的环境保护图形标志牌。具体要求见表下表：</w:t>
            </w:r>
          </w:p>
          <w:p w14:paraId="03F234D8">
            <w:pPr>
              <w:adjustRightInd w:val="0"/>
              <w:snapToGrid w:val="0"/>
              <w:spacing w:line="360" w:lineRule="auto"/>
              <w:ind w:firstLine="0" w:firstLineChars="0"/>
              <w:jc w:val="center"/>
              <w:rPr>
                <w:rFonts w:ascii="Times New Roman" w:hAnsi="Times New Roman" w:eastAsia="宋体" w:cs="Times New Roman"/>
                <w:b/>
                <w:bCs/>
                <w:color w:val="auto"/>
                <w:sz w:val="21"/>
                <w:highlight w:val="none"/>
              </w:rPr>
            </w:pPr>
          </w:p>
          <w:p w14:paraId="4C9BB1BF">
            <w:pPr>
              <w:adjustRightInd w:val="0"/>
              <w:snapToGrid w:val="0"/>
              <w:spacing w:line="360" w:lineRule="auto"/>
              <w:ind w:firstLine="0" w:firstLineChars="0"/>
              <w:jc w:val="center"/>
              <w:rPr>
                <w:rFonts w:ascii="Times New Roman" w:hAnsi="Times New Roman" w:eastAsia="宋体" w:cs="Times New Roman"/>
                <w:b/>
                <w:bCs/>
                <w:color w:val="auto"/>
                <w:sz w:val="21"/>
                <w:highlight w:val="none"/>
              </w:rPr>
            </w:pPr>
          </w:p>
          <w:p w14:paraId="626051A1">
            <w:pPr>
              <w:adjustRightInd w:val="0"/>
              <w:snapToGrid w:val="0"/>
              <w:spacing w:line="360" w:lineRule="auto"/>
              <w:ind w:firstLine="0" w:firstLineChars="0"/>
              <w:jc w:val="center"/>
              <w:rPr>
                <w:rFonts w:ascii="Times New Roman" w:hAnsi="Times New Roman" w:eastAsia="宋体" w:cs="Times New Roman"/>
                <w:b/>
                <w:bCs/>
                <w:color w:val="auto"/>
                <w:sz w:val="21"/>
                <w:highlight w:val="none"/>
              </w:rPr>
            </w:pPr>
            <w:r>
              <w:rPr>
                <w:rFonts w:ascii="Times New Roman" w:hAnsi="Times New Roman" w:eastAsia="宋体" w:cs="Times New Roman"/>
                <w:b/>
                <w:bCs/>
                <w:color w:val="auto"/>
                <w:sz w:val="21"/>
                <w:highlight w:val="none"/>
              </w:rPr>
              <w:t>表5-1  各排污口环境保护图形标志</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106"/>
              <w:gridCol w:w="2526"/>
              <w:gridCol w:w="2537"/>
            </w:tblGrid>
            <w:tr w14:paraId="7DA7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148" w:type="dxa"/>
                  <w:tcBorders>
                    <w:top w:val="single" w:color="auto" w:sz="4" w:space="0"/>
                    <w:left w:val="single" w:color="auto" w:sz="4" w:space="0"/>
                    <w:bottom w:val="single" w:color="auto" w:sz="4" w:space="0"/>
                    <w:right w:val="single" w:color="auto" w:sz="4" w:space="0"/>
                  </w:tcBorders>
                  <w:noWrap w:val="0"/>
                  <w:vAlign w:val="center"/>
                </w:tcPr>
                <w:p w14:paraId="7126293E">
                  <w:pPr>
                    <w:adjustRightInd w:val="0"/>
                    <w:snapToGrid w:val="0"/>
                    <w:spacing w:line="240" w:lineRule="auto"/>
                    <w:ind w:firstLine="0" w:firstLineChars="0"/>
                    <w:jc w:val="center"/>
                    <w:rPr>
                      <w:rFonts w:ascii="Times New Roman" w:hAnsi="Times New Roman" w:eastAsia="宋体" w:cs="Times New Roman"/>
                      <w:b/>
                      <w:bCs/>
                      <w:color w:val="auto"/>
                      <w:sz w:val="21"/>
                      <w:highlight w:val="none"/>
                    </w:rPr>
                  </w:pPr>
                  <w:r>
                    <w:rPr>
                      <w:rFonts w:ascii="Times New Roman" w:hAnsi="Times New Roman" w:eastAsia="宋体" w:cs="Times New Roman"/>
                      <w:b/>
                      <w:bCs/>
                      <w:color w:val="auto"/>
                      <w:sz w:val="21"/>
                      <w:highlight w:val="none"/>
                    </w:rPr>
                    <w:t>排放口名称</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5020D558">
                  <w:pPr>
                    <w:adjustRightInd w:val="0"/>
                    <w:snapToGrid w:val="0"/>
                    <w:spacing w:line="240" w:lineRule="auto"/>
                    <w:ind w:firstLine="0" w:firstLineChars="0"/>
                    <w:jc w:val="center"/>
                    <w:rPr>
                      <w:rFonts w:ascii="Times New Roman" w:hAnsi="Times New Roman" w:eastAsia="宋体" w:cs="Times New Roman"/>
                      <w:b/>
                      <w:bCs/>
                      <w:color w:val="auto"/>
                      <w:sz w:val="21"/>
                      <w:highlight w:val="none"/>
                    </w:rPr>
                  </w:pPr>
                  <w:r>
                    <w:rPr>
                      <w:rFonts w:ascii="Times New Roman" w:hAnsi="Times New Roman" w:eastAsia="宋体" w:cs="Times New Roman"/>
                      <w:b/>
                      <w:bCs/>
                      <w:color w:val="auto"/>
                      <w:sz w:val="21"/>
                      <w:highlight w:val="none"/>
                    </w:rPr>
                    <w:t>编号</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E8C5566">
                  <w:pPr>
                    <w:adjustRightInd w:val="0"/>
                    <w:snapToGrid w:val="0"/>
                    <w:spacing w:line="240" w:lineRule="auto"/>
                    <w:ind w:firstLine="0" w:firstLineChars="0"/>
                    <w:jc w:val="center"/>
                    <w:rPr>
                      <w:rFonts w:ascii="Times New Roman" w:hAnsi="Times New Roman" w:eastAsia="宋体" w:cs="Times New Roman"/>
                      <w:b/>
                      <w:bCs/>
                      <w:color w:val="auto"/>
                      <w:sz w:val="21"/>
                      <w:highlight w:val="none"/>
                    </w:rPr>
                  </w:pPr>
                  <w:r>
                    <w:rPr>
                      <w:rFonts w:ascii="Times New Roman" w:hAnsi="Times New Roman" w:eastAsia="宋体" w:cs="Times New Roman"/>
                      <w:b/>
                      <w:bCs/>
                      <w:color w:val="auto"/>
                      <w:sz w:val="21"/>
                      <w:highlight w:val="none"/>
                    </w:rPr>
                    <w:t>提示图形符号</w:t>
                  </w:r>
                </w:p>
              </w:tc>
              <w:tc>
                <w:tcPr>
                  <w:tcW w:w="2537" w:type="dxa"/>
                  <w:tcBorders>
                    <w:top w:val="single" w:color="auto" w:sz="4" w:space="0"/>
                    <w:left w:val="single" w:color="auto" w:sz="4" w:space="0"/>
                    <w:bottom w:val="single" w:color="auto" w:sz="4" w:space="0"/>
                    <w:right w:val="single" w:color="auto" w:sz="4" w:space="0"/>
                  </w:tcBorders>
                  <w:noWrap w:val="0"/>
                  <w:vAlign w:val="center"/>
                </w:tcPr>
                <w:p w14:paraId="6CEA5475">
                  <w:pPr>
                    <w:adjustRightInd w:val="0"/>
                    <w:snapToGrid w:val="0"/>
                    <w:spacing w:line="240" w:lineRule="auto"/>
                    <w:ind w:firstLine="0" w:firstLineChars="0"/>
                    <w:jc w:val="center"/>
                    <w:rPr>
                      <w:rFonts w:ascii="Times New Roman" w:hAnsi="Times New Roman" w:eastAsia="宋体" w:cs="Times New Roman"/>
                      <w:b/>
                      <w:bCs/>
                      <w:color w:val="auto"/>
                      <w:sz w:val="21"/>
                      <w:highlight w:val="none"/>
                    </w:rPr>
                  </w:pPr>
                  <w:r>
                    <w:rPr>
                      <w:rFonts w:ascii="Times New Roman" w:hAnsi="Times New Roman" w:eastAsia="宋体" w:cs="Times New Roman"/>
                      <w:b/>
                      <w:bCs/>
                      <w:color w:val="auto"/>
                      <w:sz w:val="21"/>
                      <w:highlight w:val="none"/>
                    </w:rPr>
                    <w:t>警告图形标志</w:t>
                  </w:r>
                </w:p>
              </w:tc>
            </w:tr>
            <w:tr w14:paraId="3293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1148" w:type="dxa"/>
                  <w:tcBorders>
                    <w:top w:val="single" w:color="auto" w:sz="4" w:space="0"/>
                    <w:left w:val="single" w:color="auto" w:sz="4" w:space="0"/>
                    <w:bottom w:val="single" w:color="auto" w:sz="4" w:space="0"/>
                    <w:right w:val="single" w:color="auto" w:sz="4" w:space="0"/>
                  </w:tcBorders>
                  <w:noWrap w:val="0"/>
                  <w:vAlign w:val="center"/>
                </w:tcPr>
                <w:p w14:paraId="74AA5D5A">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污水排放口</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2C191452">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WS-X X X X - X X</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14D66A7">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Files\\wxid_5ok9an5b4mcl22\\JC-TST~1\\AppData\\Local\\Temp\\ksohtml21064\\wps1.jpg"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51865" cy="951865"/>
                        <wp:effectExtent l="0" t="0" r="635" b="635"/>
                        <wp:docPr id="15" name="图片 1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descr="wps1"/>
                                <pic:cNvPicPr>
                                  <a:picLocks noChangeAspect="1"/>
                                </pic:cNvPicPr>
                              </pic:nvPicPr>
                              <pic:blipFill>
                                <a:blip r:embed="rId36"/>
                                <a:stretch>
                                  <a:fillRect/>
                                </a:stretch>
                              </pic:blipFill>
                              <pic:spPr>
                                <a:xfrm>
                                  <a:off x="0" y="0"/>
                                  <a:ext cx="951865" cy="951865"/>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c>
                <w:tcPr>
                  <w:tcW w:w="2537" w:type="dxa"/>
                  <w:tcBorders>
                    <w:top w:val="single" w:color="auto" w:sz="4" w:space="0"/>
                    <w:left w:val="single" w:color="auto" w:sz="4" w:space="0"/>
                    <w:bottom w:val="single" w:color="auto" w:sz="4" w:space="0"/>
                    <w:right w:val="single" w:color="auto" w:sz="4" w:space="0"/>
                  </w:tcBorders>
                  <w:noWrap w:val="0"/>
                  <w:vAlign w:val="center"/>
                </w:tcPr>
                <w:p w14:paraId="7B1E04FD">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Files\\wxid_5ok9an5b4mcl22\\JC-TST~1\\AppData\\Local\\Temp\\ksohtml21064\\wps2.png"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70915" cy="951865"/>
                        <wp:effectExtent l="0" t="0" r="635" b="635"/>
                        <wp:docPr id="16" name="图片 12" descr="w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wps2"/>
                                <pic:cNvPicPr>
                                  <a:picLocks noChangeAspect="1"/>
                                </pic:cNvPicPr>
                              </pic:nvPicPr>
                              <pic:blipFill>
                                <a:blip r:embed="rId37"/>
                                <a:stretch>
                                  <a:fillRect/>
                                </a:stretch>
                              </pic:blipFill>
                              <pic:spPr>
                                <a:xfrm>
                                  <a:off x="0" y="0"/>
                                  <a:ext cx="970915" cy="951865"/>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r>
            <w:tr w14:paraId="3D2A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1148" w:type="dxa"/>
                  <w:tcBorders>
                    <w:top w:val="single" w:color="auto" w:sz="4" w:space="0"/>
                    <w:left w:val="single" w:color="auto" w:sz="4" w:space="0"/>
                    <w:bottom w:val="single" w:color="auto" w:sz="4" w:space="0"/>
                    <w:right w:val="single" w:color="auto" w:sz="4" w:space="0"/>
                  </w:tcBorders>
                  <w:noWrap w:val="0"/>
                  <w:vAlign w:val="center"/>
                </w:tcPr>
                <w:p w14:paraId="2768907D">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排气筒</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3E68DC76">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FQ-X X X X - X X</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739D06D">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Files\\wxid_5ok9an5b4mcl22\\JC-TST~1\\AppData\\Local\\Temp\\ksohtml21064\\wps3.jpg"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51865" cy="951865"/>
                        <wp:effectExtent l="0" t="0" r="635" b="635"/>
                        <wp:docPr id="12" name="图片 13"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wps3"/>
                                <pic:cNvPicPr>
                                  <a:picLocks noChangeAspect="1"/>
                                </pic:cNvPicPr>
                              </pic:nvPicPr>
                              <pic:blipFill>
                                <a:blip r:embed="rId38"/>
                                <a:stretch>
                                  <a:fillRect/>
                                </a:stretch>
                              </pic:blipFill>
                              <pic:spPr>
                                <a:xfrm>
                                  <a:off x="0" y="0"/>
                                  <a:ext cx="951865" cy="951865"/>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c>
                <w:tcPr>
                  <w:tcW w:w="2537" w:type="dxa"/>
                  <w:tcBorders>
                    <w:top w:val="single" w:color="auto" w:sz="4" w:space="0"/>
                    <w:left w:val="single" w:color="auto" w:sz="4" w:space="0"/>
                    <w:bottom w:val="single" w:color="auto" w:sz="4" w:space="0"/>
                    <w:right w:val="single" w:color="auto" w:sz="4" w:space="0"/>
                  </w:tcBorders>
                  <w:noWrap w:val="0"/>
                  <w:vAlign w:val="center"/>
                </w:tcPr>
                <w:p w14:paraId="6AF05F70">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Files\\wxid_5ok9an5b4mcl22\\JC-TST~1\\AppData\\Local\\Temp\\ksohtml21064\\wps4.jpg"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51865" cy="839470"/>
                        <wp:effectExtent l="0" t="0" r="635" b="17780"/>
                        <wp:docPr id="13" name="图片 14" descr="wp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wps4"/>
                                <pic:cNvPicPr>
                                  <a:picLocks noChangeAspect="1"/>
                                </pic:cNvPicPr>
                              </pic:nvPicPr>
                              <pic:blipFill>
                                <a:blip r:embed="rId39"/>
                                <a:stretch>
                                  <a:fillRect/>
                                </a:stretch>
                              </pic:blipFill>
                              <pic:spPr>
                                <a:xfrm>
                                  <a:off x="0" y="0"/>
                                  <a:ext cx="951865" cy="839470"/>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r>
            <w:tr w14:paraId="2A47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1148" w:type="dxa"/>
                  <w:tcBorders>
                    <w:top w:val="single" w:color="auto" w:sz="4" w:space="0"/>
                    <w:left w:val="single" w:color="auto" w:sz="4" w:space="0"/>
                    <w:bottom w:val="single" w:color="auto" w:sz="4" w:space="0"/>
                    <w:right w:val="single" w:color="auto" w:sz="4" w:space="0"/>
                  </w:tcBorders>
                  <w:noWrap w:val="0"/>
                  <w:vAlign w:val="center"/>
                </w:tcPr>
                <w:p w14:paraId="617E79B3">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噪声源</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50913C6D">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ZS-X X X X - X X</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F4E3568">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Files\\wxid_5ok9an5b4mcl22\\JC-TST~1\\AppData\\Local\\Temp\\ksohtml21064\\wps5.jpg"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51865" cy="951865"/>
                        <wp:effectExtent l="0" t="0" r="635" b="635"/>
                        <wp:docPr id="14" name="图片 15" descr="wp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wps5"/>
                                <pic:cNvPicPr>
                                  <a:picLocks noChangeAspect="1"/>
                                </pic:cNvPicPr>
                              </pic:nvPicPr>
                              <pic:blipFill>
                                <a:blip r:embed="rId40"/>
                                <a:stretch>
                                  <a:fillRect/>
                                </a:stretch>
                              </pic:blipFill>
                              <pic:spPr>
                                <a:xfrm>
                                  <a:off x="0" y="0"/>
                                  <a:ext cx="951865" cy="951865"/>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c>
                <w:tcPr>
                  <w:tcW w:w="2537" w:type="dxa"/>
                  <w:tcBorders>
                    <w:top w:val="single" w:color="auto" w:sz="4" w:space="0"/>
                    <w:left w:val="single" w:color="auto" w:sz="4" w:space="0"/>
                    <w:bottom w:val="single" w:color="auto" w:sz="4" w:space="0"/>
                    <w:right w:val="single" w:color="auto" w:sz="4" w:space="0"/>
                  </w:tcBorders>
                  <w:noWrap w:val="0"/>
                  <w:vAlign w:val="center"/>
                </w:tcPr>
                <w:p w14:paraId="21871B00">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Files\\wxid_5ok9an5b4mcl22\\JC-TST~1\\AppData\\Local\\Temp\\ksohtml21064\\wps6.jpg"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951865" cy="839470"/>
                        <wp:effectExtent l="0" t="0" r="635" b="17780"/>
                        <wp:docPr id="10" name="图片 16" descr="wp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6" descr="wps6"/>
                                <pic:cNvPicPr>
                                  <a:picLocks noChangeAspect="1"/>
                                </pic:cNvPicPr>
                              </pic:nvPicPr>
                              <pic:blipFill>
                                <a:blip r:embed="rId41"/>
                                <a:stretch>
                                  <a:fillRect/>
                                </a:stretch>
                              </pic:blipFill>
                              <pic:spPr>
                                <a:xfrm>
                                  <a:off x="0" y="0"/>
                                  <a:ext cx="951865" cy="839470"/>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r>
            <w:tr w14:paraId="071A1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1148" w:type="dxa"/>
                  <w:tcBorders>
                    <w:top w:val="nil"/>
                    <w:left w:val="single" w:color="auto" w:sz="4" w:space="0"/>
                    <w:bottom w:val="single" w:color="auto" w:sz="4" w:space="0"/>
                    <w:right w:val="single" w:color="auto" w:sz="4" w:space="0"/>
                  </w:tcBorders>
                  <w:noWrap w:val="0"/>
                  <w:vAlign w:val="center"/>
                </w:tcPr>
                <w:p w14:paraId="16AE9889">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危险固废</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46BCBC59">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GF-X X X X - X X</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37B4234">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w:t>
                  </w:r>
                </w:p>
              </w:tc>
              <w:tc>
                <w:tcPr>
                  <w:tcW w:w="2537" w:type="dxa"/>
                  <w:tcBorders>
                    <w:top w:val="single" w:color="auto" w:sz="4" w:space="0"/>
                    <w:left w:val="single" w:color="auto" w:sz="4" w:space="0"/>
                    <w:bottom w:val="single" w:color="auto" w:sz="4" w:space="0"/>
                    <w:right w:val="single" w:color="auto" w:sz="4" w:space="0"/>
                  </w:tcBorders>
                  <w:noWrap w:val="0"/>
                  <w:vAlign w:val="center"/>
                </w:tcPr>
                <w:p w14:paraId="24AB7870">
                  <w:pPr>
                    <w:adjustRightInd w:val="0"/>
                    <w:snapToGrid w:val="0"/>
                    <w:spacing w:line="240" w:lineRule="auto"/>
                    <w:ind w:firstLine="0" w:firstLineChars="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fldChar w:fldCharType="begin"/>
                  </w:r>
                  <w:r>
                    <w:rPr>
                      <w:rFonts w:ascii="Times New Roman" w:hAnsi="Times New Roman" w:eastAsia="宋体" w:cs="Times New Roman"/>
                      <w:color w:val="auto"/>
                      <w:sz w:val="21"/>
                      <w:highlight w:val="none"/>
                    </w:rPr>
                    <w:instrText xml:space="preserve"> INCLUDEPICTURE "C:\\Users\\Administrator\\Documents\\WeChat Files\\wxid_r6j3vpmk4p4h22\\FileStorage\\Documents\\WeChat Files\\wxid_5ok9an5b4mcl22\\JC-TST~1\\AppData\\Local\\Temp\\ksohtml21064\\wps9.jpg" \* MERGEFORMAT </w:instrText>
                  </w:r>
                  <w:r>
                    <w:rPr>
                      <w:rFonts w:ascii="Times New Roman" w:hAnsi="Times New Roman" w:eastAsia="宋体" w:cs="Times New Roman"/>
                      <w:color w:val="auto"/>
                      <w:sz w:val="21"/>
                      <w:highlight w:val="none"/>
                    </w:rPr>
                    <w:fldChar w:fldCharType="separate"/>
                  </w:r>
                  <w:r>
                    <w:rPr>
                      <w:rFonts w:ascii="Times New Roman" w:hAnsi="Times New Roman" w:eastAsia="宋体" w:cs="Times New Roman"/>
                      <w:color w:val="auto"/>
                      <w:sz w:val="21"/>
                      <w:highlight w:val="none"/>
                    </w:rPr>
                    <w:drawing>
                      <wp:inline distT="0" distB="0" distL="114300" distR="114300">
                        <wp:extent cx="1514475" cy="1305560"/>
                        <wp:effectExtent l="0" t="0" r="9525" b="8890"/>
                        <wp:docPr id="9" name="图片 17"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descr="wps9"/>
                                <pic:cNvPicPr>
                                  <a:picLocks noChangeAspect="1"/>
                                </pic:cNvPicPr>
                              </pic:nvPicPr>
                              <pic:blipFill>
                                <a:blip r:embed="rId42"/>
                                <a:stretch>
                                  <a:fillRect/>
                                </a:stretch>
                              </pic:blipFill>
                              <pic:spPr>
                                <a:xfrm>
                                  <a:off x="0" y="0"/>
                                  <a:ext cx="1514475" cy="1305560"/>
                                </a:xfrm>
                                <a:prstGeom prst="rect">
                                  <a:avLst/>
                                </a:prstGeom>
                                <a:noFill/>
                                <a:ln>
                                  <a:noFill/>
                                </a:ln>
                              </pic:spPr>
                            </pic:pic>
                          </a:graphicData>
                        </a:graphic>
                      </wp:inline>
                    </w:drawing>
                  </w:r>
                  <w:r>
                    <w:rPr>
                      <w:rFonts w:ascii="Times New Roman" w:hAnsi="Times New Roman" w:eastAsia="宋体" w:cs="Times New Roman"/>
                      <w:color w:val="auto"/>
                      <w:sz w:val="21"/>
                      <w:highlight w:val="none"/>
                    </w:rPr>
                    <w:fldChar w:fldCharType="end"/>
                  </w:r>
                </w:p>
              </w:tc>
            </w:tr>
          </w:tbl>
          <w:p w14:paraId="77D76890">
            <w:pPr>
              <w:adjustRightInd w:val="0"/>
              <w:snapToGrid w:val="0"/>
              <w:spacing w:line="360" w:lineRule="auto"/>
              <w:ind w:firstLine="0" w:firstLineChars="0"/>
              <w:jc w:val="left"/>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备注：编号的前两个字母为类别代号，中间四位为企业名称拼音简写，后两位为排放口顺序编号。排放口的顺序编号数字由各企业自行规定。</w:t>
            </w:r>
          </w:p>
          <w:p w14:paraId="52CF8D09">
            <w:pPr>
              <w:adjustRightInd w:val="0"/>
              <w:snapToGrid w:val="0"/>
              <w:spacing w:line="360" w:lineRule="auto"/>
              <w:ind w:firstLine="0" w:firstLineChars="0"/>
              <w:jc w:val="left"/>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2</w:t>
            </w:r>
            <w:r>
              <w:rPr>
                <w:rFonts w:ascii="Times New Roman" w:hAnsi="Times New Roman" w:eastAsia="宋体" w:cs="Times New Roman"/>
                <w:b/>
                <w:color w:val="auto"/>
                <w:sz w:val="24"/>
                <w:highlight w:val="none"/>
              </w:rPr>
              <w:t>、排污许可制度</w:t>
            </w:r>
          </w:p>
          <w:p w14:paraId="6BE57F8C">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排污许可管理办法(试行)》（环境保护部令48号）的要求排污单位应当依法持有排污许可证，并按照排污许可证的规定排放污染物；纳入固定污染源排污许可分类管理名录的企业事业单位和其他生产经营者（以下简称排污单位）应当按照规定的时限申请并取得排污许可证；未纳入固定污染源排污许可分类管理名录的排污单位，暂不需申请排污许可证。</w:t>
            </w:r>
          </w:p>
          <w:p w14:paraId="44C4872F">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根据《固定污染源排污许可分类管理名录（2019年版）》，本项目</w:t>
            </w:r>
            <w:r>
              <w:rPr>
                <w:rFonts w:hint="eastAsia" w:ascii="Times New Roman" w:hAnsi="Times New Roman" w:eastAsia="宋体" w:cs="Times New Roman"/>
                <w:color w:val="auto"/>
                <w:sz w:val="24"/>
                <w:highlight w:val="none"/>
              </w:rPr>
              <w:t>应该进行登记管理</w:t>
            </w:r>
            <w:r>
              <w:rPr>
                <w:rFonts w:ascii="Times New Roman" w:hAnsi="Times New Roman" w:eastAsia="宋体" w:cs="Times New Roman"/>
                <w:color w:val="auto"/>
                <w:sz w:val="24"/>
                <w:highlight w:val="none"/>
              </w:rPr>
              <w:t>。</w:t>
            </w:r>
          </w:p>
          <w:p w14:paraId="4DB09F97">
            <w:pPr>
              <w:adjustRightInd w:val="0"/>
              <w:snapToGrid w:val="0"/>
              <w:spacing w:line="360" w:lineRule="auto"/>
              <w:ind w:firstLine="0" w:firstLineChars="0"/>
              <w:jc w:val="left"/>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3</w:t>
            </w:r>
            <w:r>
              <w:rPr>
                <w:rFonts w:ascii="Times New Roman" w:hAnsi="Times New Roman" w:eastAsia="宋体" w:cs="Times New Roman"/>
                <w:b/>
                <w:color w:val="auto"/>
                <w:sz w:val="24"/>
                <w:highlight w:val="none"/>
              </w:rPr>
              <w:t>、竣工环境保护验收</w:t>
            </w:r>
          </w:p>
          <w:p w14:paraId="589EEA17">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根据《中华人民共和国环境保护法》规定，建设项目污染防治设施必须与主体工程同时设计、同时施工、同时投入使用，建设单位应逐一落实本环评中提出的各项污染防治措施。</w:t>
            </w:r>
          </w:p>
          <w:p w14:paraId="2BC898CB">
            <w:pPr>
              <w:adjustRightInd w:val="0"/>
              <w:snapToGrid w:val="0"/>
              <w:spacing w:line="360" w:lineRule="auto"/>
              <w:ind w:firstLine="480" w:firstLineChars="200"/>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根据《建设项目竣工环境保护验收暂行办法》有关要求，建设项目竣工后，建设单位应当如实查验、监测、记载建设项目环境保护设施的建设和调试情况，编制验收监测报告</w:t>
            </w:r>
            <w:r>
              <w:rPr>
                <w:rFonts w:hint="eastAsia" w:ascii="Times New Roman" w:hAnsi="Times New Roman" w:eastAsia="宋体" w:cs="Times New Roman"/>
                <w:color w:val="auto"/>
                <w:sz w:val="24"/>
                <w:highlight w:val="none"/>
              </w:rPr>
              <w:t>表</w:t>
            </w:r>
            <w:r>
              <w:rPr>
                <w:rFonts w:ascii="Times New Roman" w:hAnsi="Times New Roman" w:eastAsia="宋体" w:cs="Times New Roman"/>
                <w:color w:val="auto"/>
                <w:sz w:val="24"/>
                <w:highlight w:val="none"/>
              </w:rPr>
              <w:t>。</w:t>
            </w:r>
          </w:p>
          <w:p w14:paraId="39362FAE">
            <w:pPr>
              <w:pStyle w:val="24"/>
              <w:rPr>
                <w:rFonts w:ascii="Times New Roman" w:hAnsi="Times New Roman" w:eastAsia="宋体" w:cs="Times New Roman"/>
                <w:color w:val="auto"/>
                <w:sz w:val="24"/>
                <w:highlight w:val="none"/>
              </w:rPr>
            </w:pPr>
          </w:p>
          <w:p w14:paraId="261D0191">
            <w:pPr>
              <w:pStyle w:val="22"/>
              <w:rPr>
                <w:rFonts w:ascii="Times New Roman" w:hAnsi="Times New Roman" w:eastAsia="宋体" w:cs="Times New Roman"/>
                <w:color w:val="auto"/>
                <w:sz w:val="24"/>
                <w:highlight w:val="none"/>
              </w:rPr>
            </w:pPr>
          </w:p>
          <w:p w14:paraId="50635284">
            <w:pPr>
              <w:rPr>
                <w:rFonts w:ascii="Times New Roman" w:hAnsi="Times New Roman" w:eastAsia="宋体" w:cs="Times New Roman"/>
                <w:color w:val="auto"/>
                <w:sz w:val="24"/>
                <w:highlight w:val="none"/>
              </w:rPr>
            </w:pPr>
          </w:p>
          <w:p w14:paraId="2FC419B6">
            <w:pPr>
              <w:pStyle w:val="24"/>
              <w:rPr>
                <w:rFonts w:ascii="Times New Roman" w:hAnsi="Times New Roman" w:eastAsia="宋体" w:cs="Times New Roman"/>
                <w:color w:val="auto"/>
                <w:sz w:val="24"/>
                <w:highlight w:val="none"/>
              </w:rPr>
            </w:pPr>
          </w:p>
          <w:p w14:paraId="229755B8">
            <w:pPr>
              <w:pStyle w:val="22"/>
              <w:rPr>
                <w:rFonts w:ascii="Times New Roman" w:hAnsi="Times New Roman" w:eastAsia="宋体" w:cs="Times New Roman"/>
                <w:color w:val="auto"/>
                <w:sz w:val="24"/>
                <w:highlight w:val="none"/>
              </w:rPr>
            </w:pPr>
          </w:p>
          <w:p w14:paraId="19BB458E">
            <w:pPr>
              <w:rPr>
                <w:rFonts w:ascii="Times New Roman" w:hAnsi="Times New Roman" w:eastAsia="宋体" w:cs="Times New Roman"/>
                <w:color w:val="auto"/>
                <w:sz w:val="24"/>
                <w:highlight w:val="none"/>
              </w:rPr>
            </w:pPr>
          </w:p>
          <w:p w14:paraId="7B065906">
            <w:pPr>
              <w:pStyle w:val="24"/>
              <w:rPr>
                <w:rFonts w:ascii="Times New Roman" w:hAnsi="Times New Roman" w:eastAsia="宋体" w:cs="Times New Roman"/>
                <w:color w:val="auto"/>
                <w:sz w:val="24"/>
                <w:highlight w:val="none"/>
              </w:rPr>
            </w:pPr>
          </w:p>
          <w:p w14:paraId="514A281A">
            <w:pPr>
              <w:pStyle w:val="22"/>
            </w:pPr>
          </w:p>
          <w:p w14:paraId="0D943ABC">
            <w:pPr>
              <w:adjustRightInd w:val="0"/>
              <w:snapToGrid w:val="0"/>
              <w:spacing w:line="360" w:lineRule="auto"/>
              <w:ind w:firstLine="0" w:firstLineChars="0"/>
              <w:jc w:val="left"/>
              <w:rPr>
                <w:rFonts w:ascii="Times New Roman" w:hAnsi="Times New Roman" w:eastAsia="宋体" w:cs="Times New Roman"/>
                <w:color w:val="auto"/>
                <w:sz w:val="24"/>
                <w:highlight w:val="none"/>
              </w:rPr>
            </w:pPr>
          </w:p>
        </w:tc>
      </w:tr>
    </w:tbl>
    <w:p w14:paraId="08432B6E">
      <w:pPr>
        <w:rPr>
          <w:color w:val="auto"/>
        </w:rPr>
      </w:pPr>
      <w:r>
        <w:rPr>
          <w:color w:val="auto"/>
        </w:rPr>
        <w:br w:type="page"/>
      </w:r>
    </w:p>
    <w:p w14:paraId="59FECB77">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黑体" w:cs="Times New Roman"/>
          <w:color w:val="auto"/>
          <w:sz w:val="30"/>
          <w:szCs w:val="30"/>
          <w:highlight w:val="none"/>
        </w:rPr>
      </w:pPr>
      <w:bookmarkStart w:id="78" w:name="_Toc6108"/>
      <w:r>
        <w:rPr>
          <w:rFonts w:hint="default" w:ascii="Times New Roman" w:hAnsi="Times New Roman" w:eastAsia="黑体" w:cs="Times New Roman"/>
          <w:color w:val="auto"/>
          <w:sz w:val="30"/>
          <w:szCs w:val="30"/>
          <w:highlight w:val="none"/>
        </w:rPr>
        <w:t>六、结论</w:t>
      </w:r>
      <w:bookmarkEnd w:id="75"/>
      <w:bookmarkEnd w:id="76"/>
      <w:bookmarkEnd w:id="78"/>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0AEC3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5000" w:type="pct"/>
            <w:vAlign w:val="top"/>
          </w:tcPr>
          <w:p w14:paraId="563614EA">
            <w:pPr>
              <w:spacing w:line="360" w:lineRule="auto"/>
              <w:ind w:firstLine="480" w:firstLineChars="200"/>
              <w:rPr>
                <w:rFonts w:cs="宋体"/>
                <w:color w:val="auto"/>
                <w:sz w:val="24"/>
              </w:rPr>
            </w:pPr>
            <w:r>
              <w:rPr>
                <w:rFonts w:hint="eastAsia" w:cs="宋体"/>
                <w:color w:val="auto"/>
                <w:sz w:val="24"/>
                <w:lang w:eastAsia="zh-CN"/>
              </w:rPr>
              <w:t>蚌埠壹度家居用品有限责任公司年产300万只保温容器外壳项目</w:t>
            </w:r>
            <w:r>
              <w:rPr>
                <w:rFonts w:hint="eastAsia" w:cs="宋体"/>
                <w:color w:val="auto"/>
                <w:sz w:val="24"/>
              </w:rPr>
              <w:t>符合国家及地方产业政策，选址合理，</w:t>
            </w:r>
            <w:r>
              <w:rPr>
                <w:rFonts w:hint="eastAsia"/>
                <w:color w:val="auto"/>
                <w:sz w:val="24"/>
              </w:rPr>
              <w:t>采取的各项污染防治措施可行，</w:t>
            </w:r>
            <w:r>
              <w:rPr>
                <w:rFonts w:hint="eastAsia" w:cs="宋体"/>
                <w:color w:val="auto"/>
                <w:sz w:val="24"/>
              </w:rPr>
              <w:t>各污染物经有效治理后能达到国家规定的排放标准，对周围环境影响较小。</w:t>
            </w:r>
          </w:p>
          <w:p w14:paraId="67A0BEFB">
            <w:pPr>
              <w:ind w:firstLine="480"/>
              <w:jc w:val="left"/>
              <w:rPr>
                <w:rFonts w:hint="default" w:ascii="Times New Roman" w:hAnsi="Times New Roman" w:eastAsia="宋体" w:cs="Times New Roman"/>
                <w:color w:val="auto"/>
                <w:highlight w:val="none"/>
              </w:rPr>
            </w:pPr>
            <w:r>
              <w:rPr>
                <w:rFonts w:hint="eastAsia" w:cs="宋体"/>
                <w:color w:val="auto"/>
                <w:sz w:val="24"/>
              </w:rPr>
              <w:t>因此，从环境保护角度出发，项目</w:t>
            </w:r>
            <w:r>
              <w:rPr>
                <w:rFonts w:hint="eastAsia"/>
                <w:color w:val="auto"/>
                <w:sz w:val="24"/>
              </w:rPr>
              <w:t>建设是可行的。</w:t>
            </w:r>
          </w:p>
        </w:tc>
      </w:tr>
    </w:tbl>
    <w:p w14:paraId="2C06F2ED">
      <w:pPr>
        <w:rPr>
          <w:color w:val="auto"/>
        </w:rPr>
      </w:pPr>
    </w:p>
    <w:p w14:paraId="41608969">
      <w:pPr>
        <w:rPr>
          <w:color w:val="auto"/>
        </w:rPr>
      </w:pPr>
    </w:p>
    <w:p w14:paraId="67F7A4A9">
      <w:pPr>
        <w:rPr>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5FB1259">
      <w:pPr>
        <w:adjustRightInd w:val="0"/>
        <w:snapToGrid w:val="0"/>
        <w:spacing w:line="360" w:lineRule="auto"/>
        <w:ind w:firstLine="640"/>
        <w:outlineLvl w:val="9"/>
        <w:rPr>
          <w:rFonts w:hint="default" w:ascii="Times New Roman" w:hAnsi="Times New Roman" w:eastAsia="黑体" w:cs="Times New Roman"/>
          <w:snapToGrid w:val="0"/>
          <w:color w:val="auto"/>
          <w:sz w:val="32"/>
          <w:szCs w:val="32"/>
        </w:rPr>
      </w:pPr>
      <w:bookmarkStart w:id="79" w:name="_Toc9843"/>
      <w:bookmarkStart w:id="80" w:name="_Toc25086"/>
      <w:bookmarkStart w:id="81" w:name="_Toc13624"/>
      <w:r>
        <w:rPr>
          <w:rFonts w:hint="default" w:ascii="Times New Roman" w:hAnsi="Times New Roman" w:eastAsia="黑体" w:cs="Times New Roman"/>
          <w:snapToGrid w:val="0"/>
          <w:color w:val="auto"/>
          <w:sz w:val="32"/>
          <w:szCs w:val="32"/>
        </w:rPr>
        <w:t>附表</w:t>
      </w:r>
      <w:bookmarkEnd w:id="79"/>
      <w:bookmarkEnd w:id="80"/>
      <w:bookmarkEnd w:id="81"/>
    </w:p>
    <w:p w14:paraId="51A3874A">
      <w:pPr>
        <w:keepNext w:val="0"/>
        <w:keepLines w:val="0"/>
        <w:pageBreakBefore w:val="0"/>
        <w:widowControl w:val="0"/>
        <w:kinsoku/>
        <w:wordWrap/>
        <w:overflowPunct/>
        <w:topLinePunct w:val="0"/>
        <w:autoSpaceDE/>
        <w:autoSpaceDN/>
        <w:bidi w:val="0"/>
        <w:adjustRightInd w:val="0"/>
        <w:snapToGrid w:val="0"/>
        <w:spacing w:line="240" w:lineRule="auto"/>
        <w:ind w:firstLine="760"/>
        <w:jc w:val="center"/>
        <w:textAlignment w:val="auto"/>
        <w:outlineLvl w:val="9"/>
        <w:rPr>
          <w:rFonts w:hint="default" w:ascii="Times New Roman" w:hAnsi="Times New Roman" w:eastAsia="方正小标宋_GBK" w:cs="Times New Roman"/>
          <w:snapToGrid w:val="0"/>
          <w:color w:val="auto"/>
          <w:sz w:val="38"/>
          <w:szCs w:val="38"/>
        </w:rPr>
      </w:pPr>
      <w:bookmarkStart w:id="82" w:name="_Toc18526"/>
      <w:bookmarkStart w:id="83" w:name="_Toc30777"/>
      <w:bookmarkStart w:id="84" w:name="_Toc13822"/>
      <w:r>
        <w:rPr>
          <w:rFonts w:hint="default" w:ascii="Times New Roman" w:hAnsi="Times New Roman" w:eastAsia="方正小标宋_GBK" w:cs="Times New Roman"/>
          <w:snapToGrid w:val="0"/>
          <w:color w:val="auto"/>
          <w:sz w:val="38"/>
          <w:szCs w:val="38"/>
        </w:rPr>
        <w:t>建设项目污染物排放量汇总表</w:t>
      </w:r>
      <w:bookmarkEnd w:id="82"/>
      <w:bookmarkEnd w:id="83"/>
      <w:bookmarkEnd w:id="84"/>
    </w:p>
    <w:tbl>
      <w:tblPr>
        <w:tblStyle w:val="25"/>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168"/>
        <w:gridCol w:w="1917"/>
        <w:gridCol w:w="1377"/>
        <w:gridCol w:w="1209"/>
        <w:gridCol w:w="1452"/>
        <w:gridCol w:w="1514"/>
        <w:gridCol w:w="1392"/>
        <w:gridCol w:w="1826"/>
        <w:gridCol w:w="1574"/>
      </w:tblGrid>
      <w:tr w14:paraId="19353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434" w:type="pct"/>
            <w:tcBorders>
              <w:tl2br w:val="single" w:color="000000" w:sz="4" w:space="0"/>
            </w:tcBorders>
            <w:shd w:val="clear" w:color="auto" w:fill="auto"/>
            <w:vAlign w:val="center"/>
          </w:tcPr>
          <w:p w14:paraId="556CB03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righ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项目</w:t>
            </w:r>
          </w:p>
          <w:p w14:paraId="73F668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p>
          <w:p w14:paraId="32383A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分类</w:t>
            </w:r>
          </w:p>
        </w:tc>
        <w:tc>
          <w:tcPr>
            <w:tcW w:w="713" w:type="pct"/>
            <w:tcBorders>
              <w:tl2br w:val="nil"/>
              <w:tr2bl w:val="nil"/>
            </w:tcBorders>
            <w:shd w:val="clear" w:color="auto" w:fill="auto"/>
            <w:vAlign w:val="center"/>
          </w:tcPr>
          <w:p w14:paraId="239BD1B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污染物名称</w:t>
            </w:r>
          </w:p>
        </w:tc>
        <w:tc>
          <w:tcPr>
            <w:tcW w:w="512" w:type="pct"/>
            <w:tcBorders>
              <w:tl2br w:val="nil"/>
              <w:tr2bl w:val="nil"/>
            </w:tcBorders>
            <w:shd w:val="clear" w:color="auto" w:fill="auto"/>
            <w:vAlign w:val="center"/>
          </w:tcPr>
          <w:p w14:paraId="3173497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现有工程排放量</w:t>
            </w:r>
            <w:r>
              <w:rPr>
                <w:rFonts w:hint="default" w:ascii="Times New Roman" w:hAnsi="Times New Roman"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固体废物产生量）①</w:t>
            </w:r>
          </w:p>
        </w:tc>
        <w:tc>
          <w:tcPr>
            <w:tcW w:w="450" w:type="pct"/>
            <w:tcBorders>
              <w:tl2br w:val="nil"/>
              <w:tr2bl w:val="nil"/>
            </w:tcBorders>
            <w:shd w:val="clear" w:color="auto" w:fill="auto"/>
            <w:vAlign w:val="center"/>
          </w:tcPr>
          <w:p w14:paraId="25F35E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现有工程许可排放量②</w:t>
            </w:r>
          </w:p>
        </w:tc>
        <w:tc>
          <w:tcPr>
            <w:tcW w:w="540" w:type="pct"/>
            <w:tcBorders>
              <w:tl2br w:val="nil"/>
              <w:tr2bl w:val="nil"/>
            </w:tcBorders>
            <w:shd w:val="clear" w:color="auto" w:fill="auto"/>
            <w:vAlign w:val="center"/>
          </w:tcPr>
          <w:p w14:paraId="70EE4CD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在建工程排放量（固体废物产生量）③</w:t>
            </w:r>
          </w:p>
        </w:tc>
        <w:tc>
          <w:tcPr>
            <w:tcW w:w="563" w:type="pct"/>
            <w:tcBorders>
              <w:tl2br w:val="nil"/>
              <w:tr2bl w:val="nil"/>
            </w:tcBorders>
            <w:shd w:val="clear" w:color="auto" w:fill="auto"/>
            <w:vAlign w:val="center"/>
          </w:tcPr>
          <w:p w14:paraId="5B4277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本项目排放量（固体废物产生量）④</w:t>
            </w:r>
          </w:p>
        </w:tc>
        <w:tc>
          <w:tcPr>
            <w:tcW w:w="518" w:type="pct"/>
            <w:tcBorders>
              <w:tl2br w:val="nil"/>
              <w:tr2bl w:val="nil"/>
            </w:tcBorders>
            <w:shd w:val="clear" w:color="auto" w:fill="auto"/>
            <w:vAlign w:val="center"/>
          </w:tcPr>
          <w:p w14:paraId="15BC6F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以新带老削减量（新建项目不填）⑤</w:t>
            </w:r>
          </w:p>
        </w:tc>
        <w:tc>
          <w:tcPr>
            <w:tcW w:w="679" w:type="pct"/>
            <w:tcBorders>
              <w:tl2br w:val="nil"/>
              <w:tr2bl w:val="nil"/>
            </w:tcBorders>
            <w:shd w:val="clear" w:color="auto" w:fill="auto"/>
            <w:vAlign w:val="center"/>
          </w:tcPr>
          <w:p w14:paraId="295B7AB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本项目建成后全厂排放量（固体废物产生量）⑥</w:t>
            </w:r>
          </w:p>
        </w:tc>
        <w:tc>
          <w:tcPr>
            <w:tcW w:w="586" w:type="pct"/>
            <w:tcBorders>
              <w:tl2br w:val="nil"/>
              <w:tr2bl w:val="nil"/>
            </w:tcBorders>
            <w:shd w:val="clear" w:color="auto" w:fill="auto"/>
            <w:vAlign w:val="center"/>
          </w:tcPr>
          <w:p w14:paraId="53F88F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变化量</w:t>
            </w:r>
          </w:p>
          <w:p w14:paraId="2DA98BB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⑦</w:t>
            </w:r>
          </w:p>
        </w:tc>
      </w:tr>
      <w:tr w14:paraId="582D2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restart"/>
            <w:tcBorders>
              <w:tl2br w:val="nil"/>
              <w:tr2bl w:val="nil"/>
            </w:tcBorders>
            <w:shd w:val="clear" w:color="auto" w:fill="auto"/>
            <w:vAlign w:val="center"/>
          </w:tcPr>
          <w:p w14:paraId="3302541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废气</w:t>
            </w:r>
          </w:p>
        </w:tc>
        <w:tc>
          <w:tcPr>
            <w:tcW w:w="713" w:type="pct"/>
            <w:tcBorders>
              <w:tl2br w:val="nil"/>
              <w:tr2bl w:val="nil"/>
            </w:tcBorders>
            <w:shd w:val="clear" w:color="auto" w:fill="auto"/>
            <w:vAlign w:val="center"/>
          </w:tcPr>
          <w:p w14:paraId="535276B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cs="Times New Roman"/>
                <w:i w:val="0"/>
                <w:iCs w:val="0"/>
                <w:color w:val="auto"/>
                <w:kern w:val="0"/>
                <w:sz w:val="21"/>
                <w:szCs w:val="21"/>
                <w:u w:val="none"/>
                <w:lang w:val="en-US" w:eastAsia="zh-CN" w:bidi="ar"/>
              </w:rPr>
              <w:t>颗粒物</w:t>
            </w:r>
          </w:p>
        </w:tc>
        <w:tc>
          <w:tcPr>
            <w:tcW w:w="512" w:type="pct"/>
            <w:tcBorders>
              <w:tl2br w:val="nil"/>
              <w:tr2bl w:val="nil"/>
            </w:tcBorders>
            <w:shd w:val="clear" w:color="auto" w:fill="auto"/>
            <w:vAlign w:val="center"/>
          </w:tcPr>
          <w:p w14:paraId="252FFF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3A7930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732244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vAlign w:val="center"/>
          </w:tcPr>
          <w:p w14:paraId="6A41A0B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0.1192</w:t>
            </w:r>
          </w:p>
        </w:tc>
        <w:tc>
          <w:tcPr>
            <w:tcW w:w="518" w:type="pct"/>
            <w:tcBorders>
              <w:tl2br w:val="nil"/>
              <w:tr2bl w:val="nil"/>
            </w:tcBorders>
            <w:shd w:val="clear" w:color="auto" w:fill="auto"/>
            <w:vAlign w:val="center"/>
          </w:tcPr>
          <w:p w14:paraId="4D11FE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vAlign w:val="center"/>
          </w:tcPr>
          <w:p w14:paraId="76B38F3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0.1192</w:t>
            </w:r>
          </w:p>
        </w:tc>
        <w:tc>
          <w:tcPr>
            <w:tcW w:w="586" w:type="pct"/>
            <w:tcBorders>
              <w:tl2br w:val="nil"/>
              <w:tr2bl w:val="nil"/>
            </w:tcBorders>
            <w:shd w:val="clear" w:color="auto" w:fill="auto"/>
            <w:vAlign w:val="center"/>
          </w:tcPr>
          <w:p w14:paraId="460FF3F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+0.1192</w:t>
            </w:r>
          </w:p>
        </w:tc>
      </w:tr>
      <w:tr w14:paraId="1005E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5EBAE12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713" w:type="pct"/>
            <w:tcBorders>
              <w:tl2br w:val="nil"/>
              <w:tr2bl w:val="nil"/>
            </w:tcBorders>
            <w:shd w:val="clear" w:color="auto" w:fill="auto"/>
            <w:vAlign w:val="center"/>
          </w:tcPr>
          <w:p w14:paraId="1EA8B27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非甲烷总烃</w:t>
            </w:r>
          </w:p>
        </w:tc>
        <w:tc>
          <w:tcPr>
            <w:tcW w:w="512" w:type="pct"/>
            <w:tcBorders>
              <w:tl2br w:val="nil"/>
              <w:tr2bl w:val="nil"/>
            </w:tcBorders>
            <w:shd w:val="clear" w:color="auto" w:fill="auto"/>
            <w:vAlign w:val="center"/>
          </w:tcPr>
          <w:p w14:paraId="711C30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3792E1D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011AEA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vAlign w:val="center"/>
          </w:tcPr>
          <w:p w14:paraId="067917D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0.333</w:t>
            </w:r>
          </w:p>
        </w:tc>
        <w:tc>
          <w:tcPr>
            <w:tcW w:w="518" w:type="pct"/>
            <w:tcBorders>
              <w:tl2br w:val="nil"/>
              <w:tr2bl w:val="nil"/>
            </w:tcBorders>
            <w:shd w:val="clear" w:color="auto" w:fill="auto"/>
            <w:vAlign w:val="center"/>
          </w:tcPr>
          <w:p w14:paraId="06C7BC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vAlign w:val="center"/>
          </w:tcPr>
          <w:p w14:paraId="372714F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0.333</w:t>
            </w:r>
          </w:p>
        </w:tc>
        <w:tc>
          <w:tcPr>
            <w:tcW w:w="586" w:type="pct"/>
            <w:tcBorders>
              <w:tl2br w:val="nil"/>
              <w:tr2bl w:val="nil"/>
            </w:tcBorders>
            <w:shd w:val="clear" w:color="auto" w:fill="auto"/>
            <w:vAlign w:val="center"/>
          </w:tcPr>
          <w:p w14:paraId="04B7FFE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+0.333</w:t>
            </w:r>
          </w:p>
        </w:tc>
      </w:tr>
      <w:tr w14:paraId="18156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restart"/>
            <w:tcBorders>
              <w:tl2br w:val="nil"/>
              <w:tr2bl w:val="nil"/>
            </w:tcBorders>
            <w:shd w:val="clear" w:color="auto" w:fill="auto"/>
            <w:vAlign w:val="center"/>
          </w:tcPr>
          <w:p w14:paraId="31F49F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废水</w:t>
            </w:r>
          </w:p>
        </w:tc>
        <w:tc>
          <w:tcPr>
            <w:tcW w:w="713" w:type="pct"/>
            <w:tcBorders>
              <w:tl2br w:val="nil"/>
              <w:tr2bl w:val="nil"/>
            </w:tcBorders>
            <w:shd w:val="clear" w:color="auto" w:fill="auto"/>
            <w:vAlign w:val="center"/>
          </w:tcPr>
          <w:p w14:paraId="0A3BD7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COD</w:t>
            </w:r>
          </w:p>
        </w:tc>
        <w:tc>
          <w:tcPr>
            <w:tcW w:w="512" w:type="pct"/>
            <w:tcBorders>
              <w:tl2br w:val="nil"/>
              <w:tr2bl w:val="nil"/>
            </w:tcBorders>
            <w:shd w:val="clear" w:color="auto" w:fill="auto"/>
            <w:vAlign w:val="center"/>
          </w:tcPr>
          <w:p w14:paraId="4C35246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631D16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2017DA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vAlign w:val="center"/>
          </w:tcPr>
          <w:p w14:paraId="13FD2D8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0.14432</w:t>
            </w:r>
          </w:p>
        </w:tc>
        <w:tc>
          <w:tcPr>
            <w:tcW w:w="518" w:type="pct"/>
            <w:tcBorders>
              <w:tl2br w:val="nil"/>
              <w:tr2bl w:val="nil"/>
            </w:tcBorders>
            <w:shd w:val="clear" w:color="auto" w:fill="auto"/>
            <w:vAlign w:val="center"/>
          </w:tcPr>
          <w:p w14:paraId="6B217F7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vAlign w:val="center"/>
          </w:tcPr>
          <w:p w14:paraId="6B192D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0.14432</w:t>
            </w:r>
          </w:p>
        </w:tc>
        <w:tc>
          <w:tcPr>
            <w:tcW w:w="586" w:type="pct"/>
            <w:tcBorders>
              <w:tl2br w:val="nil"/>
              <w:tr2bl w:val="nil"/>
            </w:tcBorders>
            <w:shd w:val="clear" w:color="auto" w:fill="auto"/>
            <w:vAlign w:val="center"/>
          </w:tcPr>
          <w:p w14:paraId="4690F9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+0.14432</w:t>
            </w:r>
          </w:p>
        </w:tc>
      </w:tr>
      <w:tr w14:paraId="5D872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5E131864">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713" w:type="pct"/>
            <w:tcBorders>
              <w:tl2br w:val="nil"/>
              <w:tr2bl w:val="nil"/>
            </w:tcBorders>
            <w:shd w:val="clear" w:color="auto" w:fill="auto"/>
            <w:vAlign w:val="center"/>
          </w:tcPr>
          <w:p w14:paraId="44004A9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氨氮</w:t>
            </w:r>
          </w:p>
        </w:tc>
        <w:tc>
          <w:tcPr>
            <w:tcW w:w="512" w:type="pct"/>
            <w:tcBorders>
              <w:tl2br w:val="nil"/>
              <w:tr2bl w:val="nil"/>
            </w:tcBorders>
            <w:shd w:val="clear" w:color="auto" w:fill="auto"/>
            <w:vAlign w:val="center"/>
          </w:tcPr>
          <w:p w14:paraId="77C9286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03C2627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7E0F80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vAlign w:val="center"/>
          </w:tcPr>
          <w:p w14:paraId="6475D75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0.0</w:t>
            </w:r>
            <w:r>
              <w:rPr>
                <w:rFonts w:hint="eastAsia" w:cs="Times New Roman"/>
                <w:i w:val="0"/>
                <w:iCs w:val="0"/>
                <w:color w:val="auto"/>
                <w:sz w:val="21"/>
                <w:szCs w:val="21"/>
                <w:u w:val="none"/>
                <w:lang w:val="en-US" w:eastAsia="zh-CN"/>
              </w:rPr>
              <w:t>1464</w:t>
            </w:r>
          </w:p>
        </w:tc>
        <w:tc>
          <w:tcPr>
            <w:tcW w:w="518" w:type="pct"/>
            <w:tcBorders>
              <w:tl2br w:val="nil"/>
              <w:tr2bl w:val="nil"/>
            </w:tcBorders>
            <w:shd w:val="clear" w:color="auto" w:fill="auto"/>
            <w:vAlign w:val="center"/>
          </w:tcPr>
          <w:p w14:paraId="212BE2D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vAlign w:val="center"/>
          </w:tcPr>
          <w:p w14:paraId="4B4D1C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cs="Times New Roman"/>
                <w:i w:val="0"/>
                <w:iCs w:val="0"/>
                <w:color w:val="auto"/>
                <w:sz w:val="21"/>
                <w:szCs w:val="21"/>
                <w:u w:val="none"/>
                <w:lang w:val="en-US" w:eastAsia="zh-CN"/>
              </w:rPr>
              <w:t>0.0</w:t>
            </w:r>
            <w:r>
              <w:rPr>
                <w:rFonts w:hint="eastAsia" w:cs="Times New Roman"/>
                <w:i w:val="0"/>
                <w:iCs w:val="0"/>
                <w:color w:val="auto"/>
                <w:sz w:val="21"/>
                <w:szCs w:val="21"/>
                <w:u w:val="none"/>
                <w:lang w:val="en-US" w:eastAsia="zh-CN"/>
              </w:rPr>
              <w:t>1464</w:t>
            </w:r>
          </w:p>
        </w:tc>
        <w:tc>
          <w:tcPr>
            <w:tcW w:w="586" w:type="pct"/>
            <w:tcBorders>
              <w:tl2br w:val="nil"/>
              <w:tr2bl w:val="nil"/>
            </w:tcBorders>
            <w:shd w:val="clear" w:color="auto" w:fill="auto"/>
            <w:vAlign w:val="center"/>
          </w:tcPr>
          <w:p w14:paraId="5BE680E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w:t>
            </w:r>
            <w:r>
              <w:rPr>
                <w:rFonts w:hint="default" w:cs="Times New Roman"/>
                <w:i w:val="0"/>
                <w:iCs w:val="0"/>
                <w:color w:val="auto"/>
                <w:sz w:val="21"/>
                <w:szCs w:val="21"/>
                <w:u w:val="none"/>
                <w:lang w:val="en-US" w:eastAsia="zh-CN"/>
              </w:rPr>
              <w:t>0.0</w:t>
            </w:r>
            <w:r>
              <w:rPr>
                <w:rFonts w:hint="eastAsia" w:cs="Times New Roman"/>
                <w:i w:val="0"/>
                <w:iCs w:val="0"/>
                <w:color w:val="auto"/>
                <w:sz w:val="21"/>
                <w:szCs w:val="21"/>
                <w:u w:val="none"/>
                <w:lang w:val="en-US" w:eastAsia="zh-CN"/>
              </w:rPr>
              <w:t>1464</w:t>
            </w:r>
          </w:p>
        </w:tc>
      </w:tr>
      <w:tr w14:paraId="358B1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tcBorders>
              <w:tl2br w:val="nil"/>
              <w:tr2bl w:val="nil"/>
            </w:tcBorders>
            <w:shd w:val="clear" w:color="auto" w:fill="auto"/>
            <w:vAlign w:val="center"/>
          </w:tcPr>
          <w:p w14:paraId="714D0C4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生活垃圾</w:t>
            </w:r>
          </w:p>
        </w:tc>
        <w:tc>
          <w:tcPr>
            <w:tcW w:w="713" w:type="pct"/>
            <w:tcBorders>
              <w:tl2br w:val="nil"/>
              <w:tr2bl w:val="nil"/>
            </w:tcBorders>
            <w:shd w:val="clear" w:color="auto" w:fill="auto"/>
            <w:vAlign w:val="center"/>
          </w:tcPr>
          <w:p w14:paraId="4C7BE1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eastAsia="zh-CN"/>
              </w:rPr>
            </w:pPr>
            <w:r>
              <w:rPr>
                <w:rFonts w:hint="eastAsia" w:cs="Times New Roman"/>
                <w:color w:val="auto"/>
                <w:kern w:val="0"/>
                <w:sz w:val="21"/>
                <w:szCs w:val="21"/>
                <w:highlight w:val="none"/>
                <w:lang w:eastAsia="zh-CN"/>
              </w:rPr>
              <w:t>生活垃圾</w:t>
            </w:r>
          </w:p>
        </w:tc>
        <w:tc>
          <w:tcPr>
            <w:tcW w:w="512" w:type="pct"/>
            <w:tcBorders>
              <w:tl2br w:val="nil"/>
              <w:tr2bl w:val="nil"/>
            </w:tcBorders>
            <w:shd w:val="clear" w:color="auto" w:fill="auto"/>
            <w:vAlign w:val="center"/>
          </w:tcPr>
          <w:p w14:paraId="772BA4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7D2328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0979B81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7147BD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w:t>
            </w:r>
          </w:p>
        </w:tc>
        <w:tc>
          <w:tcPr>
            <w:tcW w:w="518" w:type="pct"/>
            <w:tcBorders>
              <w:tl2br w:val="nil"/>
              <w:tr2bl w:val="nil"/>
            </w:tcBorders>
            <w:shd w:val="clear" w:color="auto" w:fill="auto"/>
            <w:vAlign w:val="center"/>
          </w:tcPr>
          <w:p w14:paraId="44AAC72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noWrap/>
            <w:vAlign w:val="center"/>
          </w:tcPr>
          <w:p w14:paraId="150A59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6</w:t>
            </w:r>
          </w:p>
        </w:tc>
        <w:tc>
          <w:tcPr>
            <w:tcW w:w="586" w:type="pct"/>
            <w:tcBorders>
              <w:tl2br w:val="nil"/>
              <w:tr2bl w:val="nil"/>
            </w:tcBorders>
            <w:shd w:val="clear" w:color="auto" w:fill="auto"/>
            <w:vAlign w:val="center"/>
          </w:tcPr>
          <w:p w14:paraId="459E16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+6</w:t>
            </w:r>
          </w:p>
        </w:tc>
      </w:tr>
      <w:tr w14:paraId="3FED3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restart"/>
            <w:tcBorders>
              <w:tl2br w:val="nil"/>
              <w:tr2bl w:val="nil"/>
            </w:tcBorders>
            <w:shd w:val="clear" w:color="auto" w:fill="auto"/>
            <w:vAlign w:val="center"/>
          </w:tcPr>
          <w:p w14:paraId="6F20719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一般工业固体废物</w:t>
            </w:r>
          </w:p>
        </w:tc>
        <w:tc>
          <w:tcPr>
            <w:tcW w:w="713" w:type="pct"/>
            <w:tcBorders>
              <w:tl2br w:val="nil"/>
              <w:tr2bl w:val="nil"/>
            </w:tcBorders>
            <w:shd w:val="clear" w:color="auto" w:fill="auto"/>
            <w:vAlign w:val="center"/>
          </w:tcPr>
          <w:p w14:paraId="3AE23A5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i w:val="0"/>
                <w:iCs w:val="0"/>
                <w:color w:val="auto"/>
                <w:sz w:val="21"/>
                <w:szCs w:val="21"/>
                <w:u w:val="none"/>
                <w:lang w:eastAsia="zh-CN"/>
              </w:rPr>
            </w:pPr>
            <w:r>
              <w:rPr>
                <w:rFonts w:hint="eastAsia" w:cs="Times New Roman"/>
                <w:color w:val="auto"/>
                <w:kern w:val="0"/>
                <w:sz w:val="21"/>
                <w:szCs w:val="21"/>
                <w:highlight w:val="none"/>
                <w:lang w:eastAsia="zh-CN"/>
              </w:rPr>
              <w:t>废包装物</w:t>
            </w:r>
          </w:p>
        </w:tc>
        <w:tc>
          <w:tcPr>
            <w:tcW w:w="512" w:type="pct"/>
            <w:tcBorders>
              <w:tl2br w:val="nil"/>
              <w:tr2bl w:val="nil"/>
            </w:tcBorders>
            <w:shd w:val="clear" w:color="auto" w:fill="auto"/>
            <w:vAlign w:val="center"/>
          </w:tcPr>
          <w:p w14:paraId="2E0BBA8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67ED67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1A6F16E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44F810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6.5</w:t>
            </w:r>
          </w:p>
        </w:tc>
        <w:tc>
          <w:tcPr>
            <w:tcW w:w="518" w:type="pct"/>
            <w:tcBorders>
              <w:tl2br w:val="nil"/>
              <w:tr2bl w:val="nil"/>
            </w:tcBorders>
            <w:shd w:val="clear" w:color="auto" w:fill="auto"/>
            <w:vAlign w:val="center"/>
          </w:tcPr>
          <w:p w14:paraId="312BBAC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cs="Times New Roman"/>
                <w:i w:val="0"/>
                <w:iCs w:val="0"/>
                <w:color w:val="auto"/>
                <w:sz w:val="21"/>
                <w:szCs w:val="21"/>
                <w:u w:val="none"/>
                <w:lang w:val="en-US" w:eastAsia="zh-CN"/>
              </w:rPr>
            </w:pPr>
            <w:r>
              <w:rPr>
                <w:rFonts w:hint="default" w:cs="Times New Roman"/>
                <w:i w:val="0"/>
                <w:iCs w:val="0"/>
                <w:color w:val="auto"/>
                <w:sz w:val="21"/>
                <w:szCs w:val="21"/>
                <w:u w:val="none"/>
                <w:lang w:val="en-US" w:eastAsia="zh-CN"/>
              </w:rPr>
              <w:t>/</w:t>
            </w:r>
          </w:p>
        </w:tc>
        <w:tc>
          <w:tcPr>
            <w:tcW w:w="679" w:type="pct"/>
            <w:tcBorders>
              <w:tl2br w:val="nil"/>
              <w:tr2bl w:val="nil"/>
            </w:tcBorders>
            <w:shd w:val="clear" w:color="auto" w:fill="auto"/>
            <w:noWrap/>
            <w:vAlign w:val="center"/>
          </w:tcPr>
          <w:p w14:paraId="729883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6.5</w:t>
            </w:r>
          </w:p>
        </w:tc>
        <w:tc>
          <w:tcPr>
            <w:tcW w:w="586" w:type="pct"/>
            <w:tcBorders>
              <w:tl2br w:val="nil"/>
              <w:tr2bl w:val="nil"/>
            </w:tcBorders>
            <w:shd w:val="clear" w:color="auto" w:fill="auto"/>
            <w:vAlign w:val="center"/>
          </w:tcPr>
          <w:p w14:paraId="717137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+6.5</w:t>
            </w:r>
          </w:p>
        </w:tc>
      </w:tr>
      <w:tr w14:paraId="21D5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67EA6D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713" w:type="pct"/>
            <w:tcBorders>
              <w:tl2br w:val="nil"/>
              <w:tr2bl w:val="nil"/>
            </w:tcBorders>
            <w:shd w:val="clear" w:color="auto" w:fill="auto"/>
            <w:vAlign w:val="center"/>
          </w:tcPr>
          <w:p w14:paraId="009994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cs="Times New Roman"/>
                <w:color w:val="auto"/>
                <w:kern w:val="0"/>
                <w:sz w:val="21"/>
                <w:szCs w:val="21"/>
                <w:highlight w:val="none"/>
                <w:lang w:eastAsia="zh-CN"/>
              </w:rPr>
            </w:pPr>
            <w:r>
              <w:rPr>
                <w:rFonts w:hint="eastAsia" w:cs="Times New Roman"/>
                <w:color w:val="auto"/>
                <w:kern w:val="0"/>
                <w:sz w:val="21"/>
                <w:szCs w:val="21"/>
                <w:highlight w:val="none"/>
                <w:lang w:eastAsia="zh-CN"/>
              </w:rPr>
              <w:t>废水性漆桶</w:t>
            </w:r>
          </w:p>
        </w:tc>
        <w:tc>
          <w:tcPr>
            <w:tcW w:w="512" w:type="pct"/>
            <w:tcBorders>
              <w:tl2br w:val="nil"/>
              <w:tr2bl w:val="nil"/>
            </w:tcBorders>
            <w:shd w:val="clear" w:color="auto" w:fill="auto"/>
            <w:vAlign w:val="center"/>
          </w:tcPr>
          <w:p w14:paraId="7BD2B8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0A98071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5A6ADB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1BE3D1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0.187</w:t>
            </w:r>
          </w:p>
        </w:tc>
        <w:tc>
          <w:tcPr>
            <w:tcW w:w="518" w:type="pct"/>
            <w:tcBorders>
              <w:tl2br w:val="nil"/>
              <w:tr2bl w:val="nil"/>
            </w:tcBorders>
            <w:shd w:val="clear" w:color="auto" w:fill="auto"/>
            <w:vAlign w:val="center"/>
          </w:tcPr>
          <w:p w14:paraId="630A8F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noWrap/>
            <w:vAlign w:val="center"/>
          </w:tcPr>
          <w:p w14:paraId="5384FC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0.187</w:t>
            </w:r>
          </w:p>
        </w:tc>
        <w:tc>
          <w:tcPr>
            <w:tcW w:w="586" w:type="pct"/>
            <w:tcBorders>
              <w:tl2br w:val="nil"/>
              <w:tr2bl w:val="nil"/>
            </w:tcBorders>
            <w:shd w:val="clear" w:color="auto" w:fill="auto"/>
            <w:vAlign w:val="center"/>
          </w:tcPr>
          <w:p w14:paraId="46F0EFB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+0.187</w:t>
            </w:r>
          </w:p>
        </w:tc>
      </w:tr>
      <w:tr w14:paraId="234BA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7EF3CE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713" w:type="pct"/>
            <w:tcBorders>
              <w:bottom w:val="single" w:color="auto" w:sz="4" w:space="0"/>
              <w:tl2br w:val="nil"/>
              <w:tr2bl w:val="nil"/>
            </w:tcBorders>
            <w:shd w:val="clear" w:color="auto" w:fill="auto"/>
            <w:vAlign w:val="center"/>
          </w:tcPr>
          <w:p w14:paraId="0D500D3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color w:val="auto"/>
                <w:kern w:val="0"/>
                <w:sz w:val="21"/>
                <w:szCs w:val="21"/>
                <w:highlight w:val="none"/>
                <w:lang w:eastAsia="zh-CN"/>
              </w:rPr>
              <w:t>废水性漆渣</w:t>
            </w:r>
          </w:p>
        </w:tc>
        <w:tc>
          <w:tcPr>
            <w:tcW w:w="512" w:type="pct"/>
            <w:tcBorders>
              <w:tl2br w:val="nil"/>
              <w:tr2bl w:val="nil"/>
            </w:tcBorders>
            <w:shd w:val="clear" w:color="auto" w:fill="auto"/>
            <w:vAlign w:val="center"/>
          </w:tcPr>
          <w:p w14:paraId="143D875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1135EB0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41C09B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3FE603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0.0315</w:t>
            </w:r>
          </w:p>
        </w:tc>
        <w:tc>
          <w:tcPr>
            <w:tcW w:w="518" w:type="pct"/>
            <w:tcBorders>
              <w:tl2br w:val="nil"/>
              <w:tr2bl w:val="nil"/>
            </w:tcBorders>
            <w:shd w:val="clear" w:color="auto" w:fill="auto"/>
            <w:vAlign w:val="center"/>
          </w:tcPr>
          <w:p w14:paraId="5565CE0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746743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0.0315</w:t>
            </w:r>
          </w:p>
        </w:tc>
        <w:tc>
          <w:tcPr>
            <w:tcW w:w="586" w:type="pct"/>
            <w:tcBorders>
              <w:tl2br w:val="nil"/>
              <w:tr2bl w:val="nil"/>
            </w:tcBorders>
            <w:shd w:val="clear" w:color="auto" w:fill="auto"/>
            <w:vAlign w:val="center"/>
          </w:tcPr>
          <w:p w14:paraId="2FA4E4F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+0.0315</w:t>
            </w:r>
          </w:p>
        </w:tc>
      </w:tr>
      <w:tr w14:paraId="1BD8F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restart"/>
            <w:tcBorders>
              <w:top w:val="single" w:color="auto" w:sz="4" w:space="0"/>
              <w:tl2br w:val="nil"/>
              <w:tr2bl w:val="nil"/>
            </w:tcBorders>
            <w:shd w:val="clear" w:color="auto" w:fill="auto"/>
            <w:vAlign w:val="center"/>
          </w:tcPr>
          <w:p w14:paraId="24E0BB80">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713" w:type="pct"/>
            <w:tcBorders>
              <w:top w:val="single" w:color="auto" w:sz="4" w:space="0"/>
              <w:tl2br w:val="nil"/>
              <w:tr2bl w:val="nil"/>
            </w:tcBorders>
            <w:shd w:val="clear" w:color="auto" w:fill="auto"/>
            <w:vAlign w:val="center"/>
          </w:tcPr>
          <w:p w14:paraId="7E25F096">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0"/>
                <w:sz w:val="21"/>
                <w:szCs w:val="21"/>
                <w:u w:val="none"/>
                <w:lang w:val="en-US" w:eastAsia="zh-CN" w:bidi="ar"/>
              </w:rPr>
            </w:pPr>
            <w:bookmarkStart w:id="85" w:name="_Toc30788"/>
            <w:r>
              <w:rPr>
                <w:rFonts w:hint="default" w:ascii="Times New Roman" w:hAnsi="Times New Roman" w:eastAsia="宋体" w:cs="Times New Roman"/>
                <w:color w:val="auto"/>
                <w:sz w:val="21"/>
                <w:szCs w:val="21"/>
                <w:highlight w:val="none"/>
              </w:rPr>
              <w:t>废活性炭</w:t>
            </w:r>
            <w:bookmarkEnd w:id="85"/>
          </w:p>
        </w:tc>
        <w:tc>
          <w:tcPr>
            <w:tcW w:w="512" w:type="pct"/>
            <w:tcBorders>
              <w:tl2br w:val="nil"/>
              <w:tr2bl w:val="nil"/>
            </w:tcBorders>
            <w:shd w:val="clear" w:color="auto" w:fill="auto"/>
            <w:vAlign w:val="center"/>
          </w:tcPr>
          <w:p w14:paraId="6089048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0D4D955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6BB7684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596EA4DB">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13</w:t>
            </w:r>
          </w:p>
        </w:tc>
        <w:tc>
          <w:tcPr>
            <w:tcW w:w="518" w:type="pct"/>
            <w:tcBorders>
              <w:tl2br w:val="nil"/>
              <w:tr2bl w:val="nil"/>
            </w:tcBorders>
            <w:shd w:val="clear" w:color="auto" w:fill="auto"/>
            <w:vAlign w:val="center"/>
          </w:tcPr>
          <w:p w14:paraId="144EEA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55A49945">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13</w:t>
            </w:r>
          </w:p>
        </w:tc>
        <w:tc>
          <w:tcPr>
            <w:tcW w:w="586" w:type="pct"/>
            <w:tcBorders>
              <w:tl2br w:val="nil"/>
              <w:tr2bl w:val="nil"/>
            </w:tcBorders>
            <w:shd w:val="clear" w:color="auto" w:fill="auto"/>
            <w:vAlign w:val="center"/>
          </w:tcPr>
          <w:p w14:paraId="6F3536DD">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+13</w:t>
            </w:r>
          </w:p>
        </w:tc>
      </w:tr>
      <w:tr w14:paraId="741B4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2444F154">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p>
        </w:tc>
        <w:tc>
          <w:tcPr>
            <w:tcW w:w="713" w:type="pct"/>
            <w:tcBorders>
              <w:top w:val="single" w:color="auto" w:sz="4" w:space="0"/>
              <w:tl2br w:val="nil"/>
              <w:tr2bl w:val="nil"/>
            </w:tcBorders>
            <w:shd w:val="clear" w:color="auto" w:fill="auto"/>
            <w:vAlign w:val="center"/>
          </w:tcPr>
          <w:p w14:paraId="71C83209">
            <w:pPr>
              <w:adjustRightInd w:val="0"/>
              <w:snapToGrid w:val="0"/>
              <w:spacing w:line="240" w:lineRule="auto"/>
              <w:ind w:firstLine="0" w:firstLineChars="0"/>
              <w:jc w:val="center"/>
              <w:outlineLvl w:val="0"/>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废过滤棉</w:t>
            </w:r>
          </w:p>
        </w:tc>
        <w:tc>
          <w:tcPr>
            <w:tcW w:w="512" w:type="pct"/>
            <w:tcBorders>
              <w:tl2br w:val="nil"/>
              <w:tr2bl w:val="nil"/>
            </w:tcBorders>
            <w:shd w:val="clear" w:color="auto" w:fill="auto"/>
            <w:vAlign w:val="center"/>
          </w:tcPr>
          <w:p w14:paraId="11A4986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105C7E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4942A2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1ED1634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0.5</w:t>
            </w:r>
          </w:p>
        </w:tc>
        <w:tc>
          <w:tcPr>
            <w:tcW w:w="518" w:type="pct"/>
            <w:tcBorders>
              <w:tl2br w:val="nil"/>
              <w:tr2bl w:val="nil"/>
            </w:tcBorders>
            <w:shd w:val="clear" w:color="auto" w:fill="auto"/>
            <w:vAlign w:val="center"/>
          </w:tcPr>
          <w:p w14:paraId="7DF96D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6FE8D12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0.5</w:t>
            </w:r>
          </w:p>
        </w:tc>
        <w:tc>
          <w:tcPr>
            <w:tcW w:w="586" w:type="pct"/>
            <w:tcBorders>
              <w:tl2br w:val="nil"/>
              <w:tr2bl w:val="nil"/>
            </w:tcBorders>
            <w:shd w:val="clear" w:color="auto" w:fill="auto"/>
            <w:vAlign w:val="center"/>
          </w:tcPr>
          <w:p w14:paraId="680D7A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+0.5</w:t>
            </w:r>
          </w:p>
        </w:tc>
      </w:tr>
      <w:tr w14:paraId="4130E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6EC527AF">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713" w:type="pct"/>
            <w:tcBorders>
              <w:tl2br w:val="nil"/>
              <w:tr2bl w:val="nil"/>
            </w:tcBorders>
            <w:shd w:val="clear" w:color="auto" w:fill="auto"/>
            <w:vAlign w:val="center"/>
          </w:tcPr>
          <w:p w14:paraId="32EB75C7">
            <w:pPr>
              <w:pStyle w:val="3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b w:val="0"/>
                <w:bCs/>
                <w:color w:val="auto"/>
                <w:sz w:val="21"/>
                <w:szCs w:val="21"/>
                <w:highlight w:val="none"/>
                <w:lang w:eastAsia="zh-CN"/>
              </w:rPr>
              <w:t>废润滑油</w:t>
            </w:r>
          </w:p>
        </w:tc>
        <w:tc>
          <w:tcPr>
            <w:tcW w:w="512" w:type="pct"/>
            <w:tcBorders>
              <w:tl2br w:val="nil"/>
              <w:tr2bl w:val="nil"/>
            </w:tcBorders>
            <w:shd w:val="clear" w:color="auto" w:fill="auto"/>
            <w:vAlign w:val="center"/>
          </w:tcPr>
          <w:p w14:paraId="3F8428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242866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3C89223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29B84812">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2"/>
                <w:sz w:val="21"/>
                <w:szCs w:val="21"/>
                <w:u w:val="none"/>
                <w:lang w:val="en-US" w:eastAsia="zh-CN" w:bidi="ar-SA"/>
              </w:rPr>
            </w:pPr>
            <w:bookmarkStart w:id="86" w:name="_Toc25536"/>
            <w:r>
              <w:rPr>
                <w:rFonts w:hint="eastAsia" w:cs="Times New Roman"/>
                <w:i w:val="0"/>
                <w:iCs w:val="0"/>
                <w:color w:val="auto"/>
                <w:kern w:val="2"/>
                <w:sz w:val="21"/>
                <w:szCs w:val="21"/>
                <w:u w:val="none"/>
                <w:lang w:val="en-US" w:eastAsia="zh-CN" w:bidi="ar-SA"/>
              </w:rPr>
              <w:t>0.01</w:t>
            </w:r>
            <w:bookmarkEnd w:id="86"/>
          </w:p>
        </w:tc>
        <w:tc>
          <w:tcPr>
            <w:tcW w:w="518" w:type="pct"/>
            <w:tcBorders>
              <w:tl2br w:val="nil"/>
              <w:tr2bl w:val="nil"/>
            </w:tcBorders>
            <w:shd w:val="clear" w:color="auto" w:fill="auto"/>
            <w:vAlign w:val="center"/>
          </w:tcPr>
          <w:p w14:paraId="3FAC366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7F1A0474">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0.01</w:t>
            </w:r>
          </w:p>
        </w:tc>
        <w:tc>
          <w:tcPr>
            <w:tcW w:w="586" w:type="pct"/>
            <w:tcBorders>
              <w:tl2br w:val="nil"/>
              <w:tr2bl w:val="nil"/>
            </w:tcBorders>
            <w:shd w:val="clear" w:color="auto" w:fill="auto"/>
            <w:vAlign w:val="center"/>
          </w:tcPr>
          <w:p w14:paraId="1397CB32">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+0.01</w:t>
            </w:r>
          </w:p>
        </w:tc>
      </w:tr>
      <w:tr w14:paraId="09AB2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4D0B91CE">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713" w:type="pct"/>
            <w:tcBorders>
              <w:tl2br w:val="nil"/>
              <w:tr2bl w:val="nil"/>
            </w:tcBorders>
            <w:shd w:val="clear" w:color="auto" w:fill="auto"/>
            <w:vAlign w:val="center"/>
          </w:tcPr>
          <w:p w14:paraId="48F4BE3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b w:val="0"/>
                <w:bCs w:val="0"/>
                <w:color w:val="auto"/>
                <w:kern w:val="0"/>
                <w:sz w:val="21"/>
                <w:szCs w:val="21"/>
                <w:highlight w:val="none"/>
                <w:vertAlign w:val="baseline"/>
                <w:lang w:val="en-US" w:eastAsia="zh-CN"/>
              </w:rPr>
              <w:t>废油</w:t>
            </w:r>
            <w:r>
              <w:rPr>
                <w:rFonts w:hint="default" w:ascii="Times New Roman" w:hAnsi="Times New Roman" w:eastAsia="宋体" w:cs="Times New Roman"/>
                <w:b w:val="0"/>
                <w:bCs/>
                <w:color w:val="auto"/>
                <w:sz w:val="21"/>
                <w:szCs w:val="21"/>
                <w:highlight w:val="none"/>
                <w:lang w:val="en-US" w:eastAsia="zh-CN"/>
              </w:rPr>
              <w:t>桶</w:t>
            </w:r>
          </w:p>
        </w:tc>
        <w:tc>
          <w:tcPr>
            <w:tcW w:w="512" w:type="pct"/>
            <w:tcBorders>
              <w:tl2br w:val="nil"/>
              <w:tr2bl w:val="nil"/>
            </w:tcBorders>
            <w:shd w:val="clear" w:color="auto" w:fill="auto"/>
            <w:vAlign w:val="center"/>
          </w:tcPr>
          <w:p w14:paraId="08F066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67C07C2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414F786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7A0C0094">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0"/>
                <w:sz w:val="21"/>
                <w:szCs w:val="21"/>
                <w:u w:val="none"/>
                <w:lang w:val="en-US" w:eastAsia="zh-CN" w:bidi="ar"/>
              </w:rPr>
            </w:pPr>
            <w:bookmarkStart w:id="87" w:name="_Toc18637"/>
            <w:r>
              <w:rPr>
                <w:rFonts w:hint="eastAsia" w:cs="Times New Roman"/>
                <w:i w:val="0"/>
                <w:iCs w:val="0"/>
                <w:color w:val="auto"/>
                <w:kern w:val="0"/>
                <w:sz w:val="21"/>
                <w:szCs w:val="21"/>
                <w:u w:val="none"/>
                <w:lang w:val="en-US" w:eastAsia="zh-CN" w:bidi="ar"/>
              </w:rPr>
              <w:t>0.05</w:t>
            </w:r>
            <w:bookmarkEnd w:id="87"/>
          </w:p>
        </w:tc>
        <w:tc>
          <w:tcPr>
            <w:tcW w:w="518" w:type="pct"/>
            <w:tcBorders>
              <w:tl2br w:val="nil"/>
              <w:tr2bl w:val="nil"/>
            </w:tcBorders>
            <w:shd w:val="clear" w:color="auto" w:fill="auto"/>
            <w:vAlign w:val="center"/>
          </w:tcPr>
          <w:p w14:paraId="5022729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59086A10">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0.05</w:t>
            </w:r>
          </w:p>
        </w:tc>
        <w:tc>
          <w:tcPr>
            <w:tcW w:w="586" w:type="pct"/>
            <w:tcBorders>
              <w:tl2br w:val="nil"/>
              <w:tr2bl w:val="nil"/>
            </w:tcBorders>
            <w:shd w:val="clear" w:color="auto" w:fill="auto"/>
            <w:vAlign w:val="center"/>
          </w:tcPr>
          <w:p w14:paraId="183D5CBF">
            <w:pPr>
              <w:adjustRightInd w:val="0"/>
              <w:snapToGrid w:val="0"/>
              <w:spacing w:line="240" w:lineRule="auto"/>
              <w:ind w:firstLine="0" w:firstLineChars="0"/>
              <w:jc w:val="center"/>
              <w:outlineLvl w:val="0"/>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+0.05</w:t>
            </w:r>
          </w:p>
        </w:tc>
      </w:tr>
      <w:tr w14:paraId="192F2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34" w:type="pct"/>
            <w:vMerge w:val="continue"/>
            <w:tcBorders>
              <w:tl2br w:val="nil"/>
              <w:tr2bl w:val="nil"/>
            </w:tcBorders>
            <w:shd w:val="clear" w:color="auto" w:fill="auto"/>
            <w:vAlign w:val="center"/>
          </w:tcPr>
          <w:p w14:paraId="45EE94A8">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713" w:type="pct"/>
            <w:tcBorders>
              <w:tl2br w:val="nil"/>
              <w:tr2bl w:val="nil"/>
            </w:tcBorders>
            <w:shd w:val="clear" w:color="auto" w:fill="auto"/>
            <w:vAlign w:val="center"/>
          </w:tcPr>
          <w:p w14:paraId="1DF5753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kern w:val="0"/>
                <w:sz w:val="21"/>
                <w:szCs w:val="21"/>
                <w:highlight w:val="none"/>
                <w:vertAlign w:val="baseline"/>
                <w:lang w:val="en-US" w:eastAsia="zh-CN"/>
              </w:rPr>
            </w:pPr>
            <w:r>
              <w:rPr>
                <w:rFonts w:hint="eastAsia" w:cs="Times New Roman"/>
                <w:b w:val="0"/>
                <w:bCs w:val="0"/>
                <w:color w:val="auto"/>
                <w:kern w:val="0"/>
                <w:sz w:val="21"/>
                <w:szCs w:val="21"/>
                <w:highlight w:val="none"/>
                <w:vertAlign w:val="baseline"/>
                <w:lang w:val="en-US" w:eastAsia="zh-CN"/>
              </w:rPr>
              <w:t>含油抹布及手套</w:t>
            </w:r>
          </w:p>
        </w:tc>
        <w:tc>
          <w:tcPr>
            <w:tcW w:w="512" w:type="pct"/>
            <w:tcBorders>
              <w:tl2br w:val="nil"/>
              <w:tr2bl w:val="nil"/>
            </w:tcBorders>
            <w:shd w:val="clear" w:color="auto" w:fill="auto"/>
            <w:vAlign w:val="center"/>
          </w:tcPr>
          <w:p w14:paraId="0F8A64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450" w:type="pct"/>
            <w:tcBorders>
              <w:tl2br w:val="nil"/>
              <w:tr2bl w:val="nil"/>
            </w:tcBorders>
            <w:shd w:val="clear" w:color="auto" w:fill="auto"/>
            <w:vAlign w:val="center"/>
          </w:tcPr>
          <w:p w14:paraId="1979B3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540" w:type="pct"/>
            <w:tcBorders>
              <w:tl2br w:val="nil"/>
              <w:tr2bl w:val="nil"/>
            </w:tcBorders>
            <w:shd w:val="clear" w:color="auto" w:fill="auto"/>
            <w:vAlign w:val="center"/>
          </w:tcPr>
          <w:p w14:paraId="1D9C817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563" w:type="pct"/>
            <w:tcBorders>
              <w:tl2br w:val="nil"/>
              <w:tr2bl w:val="nil"/>
            </w:tcBorders>
            <w:shd w:val="clear" w:color="auto" w:fill="auto"/>
            <w:noWrap/>
            <w:vAlign w:val="center"/>
          </w:tcPr>
          <w:p w14:paraId="2CDD19C0">
            <w:pPr>
              <w:adjustRightInd w:val="0"/>
              <w:snapToGrid w:val="0"/>
              <w:spacing w:line="240" w:lineRule="auto"/>
              <w:ind w:firstLine="0" w:firstLineChars="0"/>
              <w:jc w:val="center"/>
              <w:outlineLvl w:val="0"/>
              <w:rPr>
                <w:rFonts w:hint="eastAsia" w:ascii="Times New Roman" w:hAnsi="Times New Roman" w:eastAsia="宋体" w:cs="Times New Roman"/>
                <w:i w:val="0"/>
                <w:iCs w:val="0"/>
                <w:color w:val="auto"/>
                <w:kern w:val="2"/>
                <w:sz w:val="21"/>
                <w:szCs w:val="21"/>
                <w:u w:val="none"/>
                <w:lang w:val="en-US" w:eastAsia="zh-CN" w:bidi="ar-SA"/>
              </w:rPr>
            </w:pPr>
            <w:bookmarkStart w:id="88" w:name="_Toc22615"/>
            <w:r>
              <w:rPr>
                <w:rFonts w:hint="eastAsia" w:cs="Times New Roman"/>
                <w:i w:val="0"/>
                <w:iCs w:val="0"/>
                <w:color w:val="auto"/>
                <w:kern w:val="2"/>
                <w:sz w:val="21"/>
                <w:szCs w:val="21"/>
                <w:u w:val="none"/>
                <w:lang w:val="en-US" w:eastAsia="zh-CN" w:bidi="ar-SA"/>
              </w:rPr>
              <w:t>0.01</w:t>
            </w:r>
            <w:bookmarkEnd w:id="88"/>
          </w:p>
        </w:tc>
        <w:tc>
          <w:tcPr>
            <w:tcW w:w="518" w:type="pct"/>
            <w:tcBorders>
              <w:tl2br w:val="nil"/>
              <w:tr2bl w:val="nil"/>
            </w:tcBorders>
            <w:shd w:val="clear" w:color="auto" w:fill="auto"/>
            <w:vAlign w:val="center"/>
          </w:tcPr>
          <w:p w14:paraId="7D1B91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w:t>
            </w:r>
          </w:p>
        </w:tc>
        <w:tc>
          <w:tcPr>
            <w:tcW w:w="679" w:type="pct"/>
            <w:tcBorders>
              <w:tl2br w:val="nil"/>
              <w:tr2bl w:val="nil"/>
            </w:tcBorders>
            <w:shd w:val="clear" w:color="auto" w:fill="auto"/>
            <w:vAlign w:val="center"/>
          </w:tcPr>
          <w:p w14:paraId="709D1E58">
            <w:pPr>
              <w:adjustRightInd w:val="0"/>
              <w:snapToGrid w:val="0"/>
              <w:spacing w:line="240" w:lineRule="auto"/>
              <w:ind w:firstLine="0" w:firstLineChars="0"/>
              <w:jc w:val="center"/>
              <w:outlineLvl w:val="0"/>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0.01</w:t>
            </w:r>
          </w:p>
        </w:tc>
        <w:tc>
          <w:tcPr>
            <w:tcW w:w="586" w:type="pct"/>
            <w:tcBorders>
              <w:tl2br w:val="nil"/>
              <w:tr2bl w:val="nil"/>
            </w:tcBorders>
            <w:shd w:val="clear" w:color="auto" w:fill="auto"/>
            <w:vAlign w:val="center"/>
          </w:tcPr>
          <w:p w14:paraId="42F496F7">
            <w:pPr>
              <w:adjustRightInd w:val="0"/>
              <w:snapToGrid w:val="0"/>
              <w:spacing w:line="240" w:lineRule="auto"/>
              <w:ind w:firstLine="0" w:firstLineChars="0"/>
              <w:jc w:val="center"/>
              <w:outlineLvl w:val="0"/>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+0.01</w:t>
            </w:r>
          </w:p>
        </w:tc>
      </w:tr>
    </w:tbl>
    <w:p w14:paraId="7527A59A">
      <w:pPr>
        <w:pStyle w:val="39"/>
        <w:spacing w:before="192" w:beforeLines="80" w:after="24"/>
        <w:jc w:val="left"/>
        <w:rPr>
          <w:rFonts w:hint="default" w:ascii="Times New Roman" w:hAnsi="Times New Roman" w:cs="Times New Roman"/>
          <w:color w:val="auto"/>
        </w:rPr>
      </w:pPr>
      <w:r>
        <w:rPr>
          <w:rFonts w:hint="default" w:ascii="Times New Roman" w:hAnsi="Times New Roman" w:eastAsia="宋体" w:cs="Times New Roman"/>
          <w:snapToGrid w:val="0"/>
          <w:color w:val="auto"/>
          <w:kern w:val="21"/>
          <w:szCs w:val="21"/>
        </w:rPr>
        <w:t>注：</w:t>
      </w:r>
      <w:r>
        <w:rPr>
          <w:rFonts w:hint="default" w:ascii="Times New Roman" w:hAnsi="Times New Roman" w:eastAsia="宋体" w:cs="Times New Roman"/>
          <w:snapToGrid w:val="0"/>
          <w:color w:val="auto"/>
          <w:spacing w:val="-16"/>
          <w:kern w:val="21"/>
          <w:szCs w:val="21"/>
        </w:rPr>
        <w:fldChar w:fldCharType="begin"/>
      </w:r>
      <w:r>
        <w:rPr>
          <w:rFonts w:hint="default" w:ascii="Times New Roman" w:hAnsi="Times New Roman" w:eastAsia="宋体" w:cs="Times New Roman"/>
          <w:snapToGrid w:val="0"/>
          <w:color w:val="auto"/>
          <w:spacing w:val="-16"/>
          <w:kern w:val="21"/>
          <w:szCs w:val="21"/>
        </w:rPr>
        <w:instrText xml:space="preserve"> = 6 \* GB3 \* MERGEFORMAT </w:instrText>
      </w:r>
      <w:r>
        <w:rPr>
          <w:rFonts w:hint="default" w:ascii="Times New Roman" w:hAnsi="Times New Roman" w:eastAsia="宋体" w:cs="Times New Roman"/>
          <w:snapToGrid w:val="0"/>
          <w:color w:val="auto"/>
          <w:spacing w:val="-16"/>
          <w:kern w:val="21"/>
          <w:szCs w:val="21"/>
        </w:rPr>
        <w:fldChar w:fldCharType="separate"/>
      </w:r>
      <w:r>
        <w:rPr>
          <w:rFonts w:hint="default" w:ascii="Times New Roman" w:hAnsi="Times New Roman" w:eastAsia="宋体" w:cs="Times New Roman"/>
          <w:color w:val="auto"/>
          <w:szCs w:val="21"/>
        </w:rPr>
        <w:t>⑥</w:t>
      </w:r>
      <w:r>
        <w:rPr>
          <w:rFonts w:hint="default" w:ascii="Times New Roman" w:hAnsi="Times New Roman" w:eastAsia="宋体" w:cs="Times New Roman"/>
          <w:snapToGrid w:val="0"/>
          <w:color w:val="auto"/>
          <w:spacing w:val="-16"/>
          <w:kern w:val="21"/>
          <w:szCs w:val="21"/>
        </w:rPr>
        <w:fldChar w:fldCharType="end"/>
      </w:r>
      <w:r>
        <w:rPr>
          <w:rFonts w:hint="default" w:ascii="Times New Roman" w:hAnsi="Times New Roman" w:eastAsia="宋体" w:cs="Times New Roman"/>
          <w:snapToGrid w:val="0"/>
          <w:color w:val="auto"/>
          <w:spacing w:val="-16"/>
          <w:kern w:val="21"/>
          <w:szCs w:val="21"/>
        </w:rPr>
        <w:t>=</w:t>
      </w:r>
      <w:r>
        <w:rPr>
          <w:rFonts w:hint="default" w:ascii="Times New Roman" w:hAnsi="Times New Roman" w:eastAsia="宋体" w:cs="Times New Roman"/>
          <w:snapToGrid w:val="0"/>
          <w:color w:val="auto"/>
          <w:spacing w:val="-6"/>
          <w:kern w:val="21"/>
          <w:szCs w:val="21"/>
        </w:rPr>
        <w:fldChar w:fldCharType="begin"/>
      </w:r>
      <w:r>
        <w:rPr>
          <w:rFonts w:hint="default" w:ascii="Times New Roman" w:hAnsi="Times New Roman" w:eastAsia="宋体" w:cs="Times New Roman"/>
          <w:snapToGrid w:val="0"/>
          <w:color w:val="auto"/>
          <w:spacing w:val="-6"/>
          <w:kern w:val="21"/>
          <w:szCs w:val="21"/>
        </w:rPr>
        <w:instrText xml:space="preserve"> = 1 \* GB3 \* MERGEFORMAT </w:instrText>
      </w:r>
      <w:r>
        <w:rPr>
          <w:rFonts w:hint="default" w:ascii="Times New Roman" w:hAnsi="Times New Roman" w:eastAsia="宋体" w:cs="Times New Roman"/>
          <w:snapToGrid w:val="0"/>
          <w:color w:val="auto"/>
          <w:spacing w:val="-6"/>
          <w:kern w:val="21"/>
          <w:szCs w:val="21"/>
        </w:rPr>
        <w:fldChar w:fldCharType="separate"/>
      </w:r>
      <w:r>
        <w:rPr>
          <w:rFonts w:hint="default" w:ascii="Times New Roman" w:hAnsi="Times New Roman" w:eastAsia="宋体" w:cs="Times New Roman"/>
          <w:color w:val="auto"/>
          <w:szCs w:val="21"/>
        </w:rPr>
        <w:t>①</w:t>
      </w:r>
      <w:r>
        <w:rPr>
          <w:rFonts w:hint="default" w:ascii="Times New Roman" w:hAnsi="Times New Roman" w:eastAsia="宋体" w:cs="Times New Roman"/>
          <w:snapToGrid w:val="0"/>
          <w:color w:val="auto"/>
          <w:spacing w:val="-6"/>
          <w:kern w:val="21"/>
          <w:szCs w:val="21"/>
        </w:rPr>
        <w:fldChar w:fldCharType="end"/>
      </w:r>
      <w:r>
        <w:rPr>
          <w:rFonts w:hint="default" w:ascii="Times New Roman" w:hAnsi="Times New Roman" w:eastAsia="宋体" w:cs="Times New Roman"/>
          <w:snapToGrid w:val="0"/>
          <w:color w:val="auto"/>
          <w:spacing w:val="-6"/>
          <w:kern w:val="21"/>
          <w:szCs w:val="21"/>
        </w:rPr>
        <w:t>+</w:t>
      </w:r>
      <w:r>
        <w:rPr>
          <w:rFonts w:hint="default" w:ascii="Times New Roman" w:hAnsi="Times New Roman" w:eastAsia="宋体" w:cs="Times New Roman"/>
          <w:snapToGrid w:val="0"/>
          <w:color w:val="auto"/>
          <w:spacing w:val="-6"/>
          <w:kern w:val="21"/>
          <w:szCs w:val="21"/>
        </w:rPr>
        <w:fldChar w:fldCharType="begin"/>
      </w:r>
      <w:r>
        <w:rPr>
          <w:rFonts w:hint="default" w:ascii="Times New Roman" w:hAnsi="Times New Roman" w:eastAsia="宋体" w:cs="Times New Roman"/>
          <w:snapToGrid w:val="0"/>
          <w:color w:val="auto"/>
          <w:spacing w:val="-6"/>
          <w:kern w:val="21"/>
          <w:szCs w:val="21"/>
        </w:rPr>
        <w:instrText xml:space="preserve"> = 3 \* GB3 \* MERGEFORMAT </w:instrText>
      </w:r>
      <w:r>
        <w:rPr>
          <w:rFonts w:hint="default" w:ascii="Times New Roman" w:hAnsi="Times New Roman" w:eastAsia="宋体" w:cs="Times New Roman"/>
          <w:snapToGrid w:val="0"/>
          <w:color w:val="auto"/>
          <w:spacing w:val="-6"/>
          <w:kern w:val="21"/>
          <w:szCs w:val="21"/>
        </w:rPr>
        <w:fldChar w:fldCharType="separate"/>
      </w:r>
      <w:r>
        <w:rPr>
          <w:rFonts w:hint="default" w:ascii="Times New Roman" w:hAnsi="Times New Roman" w:eastAsia="宋体" w:cs="Times New Roman"/>
          <w:color w:val="auto"/>
          <w:szCs w:val="21"/>
        </w:rPr>
        <w:t>③</w:t>
      </w:r>
      <w:r>
        <w:rPr>
          <w:rFonts w:hint="default" w:ascii="Times New Roman" w:hAnsi="Times New Roman" w:eastAsia="宋体" w:cs="Times New Roman"/>
          <w:snapToGrid w:val="0"/>
          <w:color w:val="auto"/>
          <w:spacing w:val="-6"/>
          <w:kern w:val="21"/>
          <w:szCs w:val="21"/>
        </w:rPr>
        <w:fldChar w:fldCharType="end"/>
      </w:r>
      <w:r>
        <w:rPr>
          <w:rFonts w:hint="default" w:ascii="Times New Roman" w:hAnsi="Times New Roman" w:eastAsia="宋体" w:cs="Times New Roman"/>
          <w:snapToGrid w:val="0"/>
          <w:color w:val="auto"/>
          <w:spacing w:val="-6"/>
          <w:kern w:val="21"/>
          <w:szCs w:val="21"/>
        </w:rPr>
        <w:t>+</w:t>
      </w:r>
      <w:r>
        <w:rPr>
          <w:rFonts w:hint="default" w:ascii="Times New Roman" w:hAnsi="Times New Roman" w:eastAsia="宋体" w:cs="Times New Roman"/>
          <w:snapToGrid w:val="0"/>
          <w:color w:val="auto"/>
          <w:spacing w:val="-6"/>
          <w:kern w:val="21"/>
          <w:szCs w:val="21"/>
        </w:rPr>
        <w:fldChar w:fldCharType="begin"/>
      </w:r>
      <w:r>
        <w:rPr>
          <w:rFonts w:hint="default" w:ascii="Times New Roman" w:hAnsi="Times New Roman" w:eastAsia="宋体" w:cs="Times New Roman"/>
          <w:snapToGrid w:val="0"/>
          <w:color w:val="auto"/>
          <w:spacing w:val="-6"/>
          <w:kern w:val="21"/>
          <w:szCs w:val="21"/>
        </w:rPr>
        <w:instrText xml:space="preserve"> = 4 \* GB3 \* MERGEFORMAT </w:instrText>
      </w:r>
      <w:r>
        <w:rPr>
          <w:rFonts w:hint="default" w:ascii="Times New Roman" w:hAnsi="Times New Roman" w:eastAsia="宋体" w:cs="Times New Roman"/>
          <w:snapToGrid w:val="0"/>
          <w:color w:val="auto"/>
          <w:spacing w:val="-6"/>
          <w:kern w:val="21"/>
          <w:szCs w:val="21"/>
        </w:rPr>
        <w:fldChar w:fldCharType="separate"/>
      </w:r>
      <w:r>
        <w:rPr>
          <w:rFonts w:hint="default" w:ascii="Times New Roman" w:hAnsi="Times New Roman" w:eastAsia="宋体" w:cs="Times New Roman"/>
          <w:color w:val="auto"/>
          <w:szCs w:val="21"/>
        </w:rPr>
        <w:t>④</w:t>
      </w:r>
      <w:r>
        <w:rPr>
          <w:rFonts w:hint="default" w:ascii="Times New Roman" w:hAnsi="Times New Roman" w:eastAsia="宋体" w:cs="Times New Roman"/>
          <w:snapToGrid w:val="0"/>
          <w:color w:val="auto"/>
          <w:spacing w:val="-6"/>
          <w:kern w:val="21"/>
          <w:szCs w:val="21"/>
        </w:rPr>
        <w:fldChar w:fldCharType="end"/>
      </w:r>
      <w:r>
        <w:rPr>
          <w:rFonts w:hint="default" w:ascii="Times New Roman" w:hAnsi="Times New Roman" w:eastAsia="宋体" w:cs="Times New Roman"/>
          <w:snapToGrid w:val="0"/>
          <w:color w:val="auto"/>
          <w:spacing w:val="-6"/>
          <w:kern w:val="21"/>
          <w:szCs w:val="21"/>
        </w:rPr>
        <w:t>-</w:t>
      </w:r>
      <w:r>
        <w:rPr>
          <w:rFonts w:hint="default" w:ascii="Times New Roman" w:hAnsi="Times New Roman" w:eastAsia="宋体" w:cs="Times New Roman"/>
          <w:snapToGrid w:val="0"/>
          <w:color w:val="auto"/>
          <w:spacing w:val="-16"/>
          <w:kern w:val="21"/>
          <w:szCs w:val="21"/>
        </w:rPr>
        <w:fldChar w:fldCharType="begin"/>
      </w:r>
      <w:r>
        <w:rPr>
          <w:rFonts w:hint="default" w:ascii="Times New Roman" w:hAnsi="Times New Roman" w:eastAsia="宋体" w:cs="Times New Roman"/>
          <w:snapToGrid w:val="0"/>
          <w:color w:val="auto"/>
          <w:spacing w:val="-16"/>
          <w:kern w:val="21"/>
          <w:szCs w:val="21"/>
        </w:rPr>
        <w:instrText xml:space="preserve"> = 5 \* GB3 \* MERGEFORMAT </w:instrText>
      </w:r>
      <w:r>
        <w:rPr>
          <w:rFonts w:hint="default" w:ascii="Times New Roman" w:hAnsi="Times New Roman" w:eastAsia="宋体" w:cs="Times New Roman"/>
          <w:snapToGrid w:val="0"/>
          <w:color w:val="auto"/>
          <w:spacing w:val="-16"/>
          <w:kern w:val="21"/>
          <w:szCs w:val="21"/>
        </w:rPr>
        <w:fldChar w:fldCharType="separate"/>
      </w:r>
      <w:r>
        <w:rPr>
          <w:rFonts w:hint="default" w:ascii="Times New Roman" w:hAnsi="Times New Roman" w:eastAsia="宋体" w:cs="Times New Roman"/>
          <w:color w:val="auto"/>
          <w:szCs w:val="21"/>
        </w:rPr>
        <w:t>⑤</w:t>
      </w:r>
      <w:r>
        <w:rPr>
          <w:rFonts w:hint="default" w:ascii="Times New Roman" w:hAnsi="Times New Roman" w:eastAsia="宋体" w:cs="Times New Roman"/>
          <w:snapToGrid w:val="0"/>
          <w:color w:val="auto"/>
          <w:spacing w:val="-16"/>
          <w:kern w:val="21"/>
          <w:szCs w:val="21"/>
        </w:rPr>
        <w:fldChar w:fldCharType="end"/>
      </w:r>
      <w:r>
        <w:rPr>
          <w:rFonts w:hint="default" w:ascii="Times New Roman" w:hAnsi="Times New Roman" w:eastAsia="宋体" w:cs="Times New Roman"/>
          <w:snapToGrid w:val="0"/>
          <w:color w:val="auto"/>
          <w:spacing w:val="-16"/>
          <w:kern w:val="21"/>
          <w:szCs w:val="21"/>
        </w:rPr>
        <w:t>；</w:t>
      </w:r>
      <w:r>
        <w:rPr>
          <w:rFonts w:hint="default" w:ascii="Times New Roman" w:hAnsi="Times New Roman" w:eastAsia="宋体" w:cs="Times New Roman"/>
          <w:snapToGrid w:val="0"/>
          <w:color w:val="auto"/>
          <w:spacing w:val="-6"/>
          <w:kern w:val="21"/>
          <w:szCs w:val="21"/>
        </w:rPr>
        <w:fldChar w:fldCharType="begin"/>
      </w:r>
      <w:r>
        <w:rPr>
          <w:rFonts w:hint="default" w:ascii="Times New Roman" w:hAnsi="Times New Roman" w:eastAsia="宋体" w:cs="Times New Roman"/>
          <w:snapToGrid w:val="0"/>
          <w:color w:val="auto"/>
          <w:spacing w:val="-6"/>
          <w:kern w:val="21"/>
          <w:szCs w:val="21"/>
        </w:rPr>
        <w:instrText xml:space="preserve"> = 7 \* GB3 \* MERGEFORMAT </w:instrText>
      </w:r>
      <w:r>
        <w:rPr>
          <w:rFonts w:hint="default" w:ascii="Times New Roman" w:hAnsi="Times New Roman" w:eastAsia="宋体" w:cs="Times New Roman"/>
          <w:snapToGrid w:val="0"/>
          <w:color w:val="auto"/>
          <w:spacing w:val="-6"/>
          <w:kern w:val="21"/>
          <w:szCs w:val="21"/>
        </w:rPr>
        <w:fldChar w:fldCharType="separate"/>
      </w:r>
      <w:r>
        <w:rPr>
          <w:rFonts w:hint="default" w:ascii="Times New Roman" w:hAnsi="Times New Roman" w:eastAsia="宋体" w:cs="Times New Roman"/>
          <w:color w:val="auto"/>
          <w:szCs w:val="21"/>
        </w:rPr>
        <w:t>⑦</w:t>
      </w:r>
      <w:r>
        <w:rPr>
          <w:rFonts w:hint="default" w:ascii="Times New Roman" w:hAnsi="Times New Roman" w:eastAsia="宋体" w:cs="Times New Roman"/>
          <w:snapToGrid w:val="0"/>
          <w:color w:val="auto"/>
          <w:spacing w:val="-6"/>
          <w:kern w:val="21"/>
          <w:szCs w:val="21"/>
        </w:rPr>
        <w:fldChar w:fldCharType="end"/>
      </w:r>
      <w:r>
        <w:rPr>
          <w:rFonts w:hint="default" w:ascii="Times New Roman" w:hAnsi="Times New Roman" w:eastAsia="宋体" w:cs="Times New Roman"/>
          <w:snapToGrid w:val="0"/>
          <w:color w:val="auto"/>
          <w:spacing w:val="-6"/>
          <w:kern w:val="21"/>
          <w:szCs w:val="21"/>
        </w:rPr>
        <w:t>=</w:t>
      </w:r>
      <w:r>
        <w:rPr>
          <w:rFonts w:hint="default" w:ascii="Times New Roman" w:hAnsi="Times New Roman" w:eastAsia="宋体" w:cs="Times New Roman"/>
          <w:snapToGrid w:val="0"/>
          <w:color w:val="auto"/>
          <w:spacing w:val="-16"/>
          <w:kern w:val="21"/>
          <w:szCs w:val="21"/>
        </w:rPr>
        <w:fldChar w:fldCharType="begin"/>
      </w:r>
      <w:r>
        <w:rPr>
          <w:rFonts w:hint="default" w:ascii="Times New Roman" w:hAnsi="Times New Roman" w:eastAsia="宋体" w:cs="Times New Roman"/>
          <w:snapToGrid w:val="0"/>
          <w:color w:val="auto"/>
          <w:spacing w:val="-16"/>
          <w:kern w:val="21"/>
          <w:szCs w:val="21"/>
        </w:rPr>
        <w:instrText xml:space="preserve"> = 6 \* GB3 \* MERGEFORMAT </w:instrText>
      </w:r>
      <w:r>
        <w:rPr>
          <w:rFonts w:hint="default" w:ascii="Times New Roman" w:hAnsi="Times New Roman" w:eastAsia="宋体" w:cs="Times New Roman"/>
          <w:snapToGrid w:val="0"/>
          <w:color w:val="auto"/>
          <w:spacing w:val="-16"/>
          <w:kern w:val="21"/>
          <w:szCs w:val="21"/>
        </w:rPr>
        <w:fldChar w:fldCharType="separate"/>
      </w:r>
      <w:r>
        <w:rPr>
          <w:rFonts w:hint="default" w:ascii="Times New Roman" w:hAnsi="Times New Roman" w:eastAsia="宋体" w:cs="Times New Roman"/>
          <w:color w:val="auto"/>
          <w:szCs w:val="21"/>
        </w:rPr>
        <w:t>⑥</w:t>
      </w:r>
      <w:r>
        <w:rPr>
          <w:rFonts w:hint="default" w:ascii="Times New Roman" w:hAnsi="Times New Roman" w:eastAsia="宋体" w:cs="Times New Roman"/>
          <w:snapToGrid w:val="0"/>
          <w:color w:val="auto"/>
          <w:spacing w:val="-16"/>
          <w:kern w:val="21"/>
          <w:szCs w:val="21"/>
        </w:rPr>
        <w:fldChar w:fldCharType="end"/>
      </w:r>
      <w:r>
        <w:rPr>
          <w:rFonts w:hint="default" w:ascii="Times New Roman" w:hAnsi="Times New Roman" w:eastAsia="宋体" w:cs="Times New Roman"/>
          <w:snapToGrid w:val="0"/>
          <w:color w:val="auto"/>
          <w:spacing w:val="-16"/>
          <w:kern w:val="21"/>
          <w:szCs w:val="21"/>
        </w:rPr>
        <w:t>-</w:t>
      </w:r>
      <w:r>
        <w:rPr>
          <w:rFonts w:hint="default" w:ascii="Times New Roman" w:hAnsi="Times New Roman" w:eastAsia="宋体" w:cs="Times New Roman"/>
          <w:snapToGrid w:val="0"/>
          <w:color w:val="auto"/>
          <w:spacing w:val="-6"/>
          <w:kern w:val="21"/>
          <w:szCs w:val="21"/>
        </w:rPr>
        <w:fldChar w:fldCharType="begin"/>
      </w:r>
      <w:r>
        <w:rPr>
          <w:rFonts w:hint="default" w:ascii="Times New Roman" w:hAnsi="Times New Roman" w:eastAsia="宋体" w:cs="Times New Roman"/>
          <w:snapToGrid w:val="0"/>
          <w:color w:val="auto"/>
          <w:spacing w:val="-6"/>
          <w:kern w:val="21"/>
          <w:szCs w:val="21"/>
        </w:rPr>
        <w:instrText xml:space="preserve"> = 1 \* GB3 \* MERGEFORMAT </w:instrText>
      </w:r>
      <w:r>
        <w:rPr>
          <w:rFonts w:hint="default" w:ascii="Times New Roman" w:hAnsi="Times New Roman" w:eastAsia="宋体" w:cs="Times New Roman"/>
          <w:snapToGrid w:val="0"/>
          <w:color w:val="auto"/>
          <w:spacing w:val="-6"/>
          <w:kern w:val="21"/>
          <w:szCs w:val="21"/>
        </w:rPr>
        <w:fldChar w:fldCharType="separate"/>
      </w:r>
      <w:r>
        <w:rPr>
          <w:rFonts w:hint="default" w:ascii="Times New Roman" w:hAnsi="Times New Roman" w:eastAsia="宋体" w:cs="Times New Roman"/>
          <w:color w:val="auto"/>
          <w:szCs w:val="21"/>
        </w:rPr>
        <w:t>①</w:t>
      </w:r>
      <w:r>
        <w:rPr>
          <w:rFonts w:hint="default" w:ascii="Times New Roman" w:hAnsi="Times New Roman" w:eastAsia="宋体" w:cs="Times New Roman"/>
          <w:snapToGrid w:val="0"/>
          <w:color w:val="auto"/>
          <w:spacing w:val="-6"/>
          <w:kern w:val="21"/>
          <w:szCs w:val="21"/>
        </w:rPr>
        <w:fldChar w:fldCharType="end"/>
      </w:r>
    </w:p>
    <w:p w14:paraId="3F11759B">
      <w:pPr>
        <w:rPr>
          <w:color w:val="auto"/>
        </w:rPr>
      </w:pPr>
    </w:p>
    <w:sectPr>
      <w:footerReference r:id="rId12" w:type="default"/>
      <w:pgSz w:w="16838" w:h="11906" w:orient="landscape"/>
      <w:pgMar w:top="1440" w:right="1803" w:bottom="1440" w:left="1803" w:header="851" w:footer="851" w:gutter="0"/>
      <w:pgBorders>
        <w:top w:val="none" w:sz="0" w:space="0"/>
        <w:left w:val="none" w:sz="0" w:space="0"/>
        <w:bottom w:val="none" w:sz="0" w:space="0"/>
        <w:right w:val="none" w:sz="0" w:space="0"/>
      </w:pgBorders>
      <w:pgNumType w:fmt="numberInDash"/>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新宋体">
    <w:panose1 w:val="02010609030101010101"/>
    <w:charset w:val="86"/>
    <w:family w:val="auto"/>
    <w:pitch w:val="default"/>
    <w:sig w:usb0="00000003" w:usb1="288F0000" w:usb2="00000006"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C62CF">
    <w:pPr>
      <w:tabs>
        <w:tab w:val="center" w:pos="4153"/>
        <w:tab w:val="right" w:pos="8306"/>
      </w:tabs>
      <w:ind w:right="360"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BB7AD">
    <w:pPr>
      <w:framePr w:wrap="around" w:vAnchor="text" w:hAnchor="margin" w:xAlign="center" w:y="1"/>
      <w:tabs>
        <w:tab w:val="center" w:pos="4153"/>
        <w:tab w:val="right" w:pos="8306"/>
      </w:tabs>
      <w:ind w:firstLine="480"/>
    </w:pPr>
    <w:r>
      <w:fldChar w:fldCharType="begin"/>
    </w:r>
    <w:r>
      <w:instrText xml:space="preserve">PAGE  </w:instrText>
    </w:r>
    <w:r>
      <w:fldChar w:fldCharType="end"/>
    </w:r>
  </w:p>
  <w:p w14:paraId="63EF9C09">
    <w:pPr>
      <w:tabs>
        <w:tab w:val="center" w:pos="4153"/>
        <w:tab w:val="right" w:pos="8306"/>
      </w:tabs>
      <w:ind w:right="360"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8B7DF">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85D5E">
    <w:pPr>
      <w:tabs>
        <w:tab w:val="center" w:pos="4153"/>
        <w:tab w:val="right" w:pos="8306"/>
      </w:tabs>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01FFF">
    <w:pPr>
      <w:tabs>
        <w:tab w:val="center" w:pos="4153"/>
        <w:tab w:val="right" w:pos="8306"/>
      </w:tabs>
      <w:ind w:right="360" w:firstLine="360"/>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8EAAA1">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8EAAA1">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1F811">
    <w:pPr>
      <w:tabs>
        <w:tab w:val="center" w:pos="4153"/>
        <w:tab w:val="right" w:pos="8306"/>
      </w:tabs>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241C5">
    <w:pPr>
      <w:pStyle w:val="1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6241D">
    <w:pPr>
      <w:pStyle w:val="1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9E93A"/>
    <w:multiLevelType w:val="singleLevel"/>
    <w:tmpl w:val="A8A9E93A"/>
    <w:lvl w:ilvl="0" w:tentative="0">
      <w:start w:val="1"/>
      <w:numFmt w:val="chineseCounting"/>
      <w:suff w:val="nothing"/>
      <w:lvlText w:val="%1、"/>
      <w:lvlJc w:val="left"/>
      <w:rPr>
        <w:rFonts w:hint="eastAsia" w:ascii="Times New Roman" w:hAnsi="Times New Roman" w:cs="Times New Roman"/>
        <w:b/>
        <w:bCs/>
      </w:rPr>
    </w:lvl>
  </w:abstractNum>
  <w:abstractNum w:abstractNumId="1">
    <w:nsid w:val="B501BDE5"/>
    <w:multiLevelType w:val="singleLevel"/>
    <w:tmpl w:val="B501BDE5"/>
    <w:lvl w:ilvl="0" w:tentative="0">
      <w:start w:val="9"/>
      <w:numFmt w:val="decimal"/>
      <w:suff w:val="nothing"/>
      <w:lvlText w:val="%1、"/>
      <w:lvlJc w:val="left"/>
    </w:lvl>
  </w:abstractNum>
  <w:abstractNum w:abstractNumId="2">
    <w:nsid w:val="D2A4CFCB"/>
    <w:multiLevelType w:val="singleLevel"/>
    <w:tmpl w:val="D2A4CFCB"/>
    <w:lvl w:ilvl="0" w:tentative="0">
      <w:start w:val="1"/>
      <w:numFmt w:val="decimal"/>
      <w:suff w:val="nothing"/>
      <w:lvlText w:val="（%1）"/>
      <w:lvlJc w:val="left"/>
    </w:lvl>
  </w:abstractNum>
  <w:abstractNum w:abstractNumId="3">
    <w:nsid w:val="DEE56FE2"/>
    <w:multiLevelType w:val="singleLevel"/>
    <w:tmpl w:val="DEE56FE2"/>
    <w:lvl w:ilvl="0" w:tentative="0">
      <w:start w:val="2"/>
      <w:numFmt w:val="chineseCounting"/>
      <w:suff w:val="nothing"/>
      <w:lvlText w:val="%1、"/>
      <w:lvlJc w:val="left"/>
      <w:rPr>
        <w:rFonts w:hint="eastAsia"/>
      </w:rPr>
    </w:lvl>
  </w:abstractNum>
  <w:abstractNum w:abstractNumId="4">
    <w:nsid w:val="E2AB3A11"/>
    <w:multiLevelType w:val="singleLevel"/>
    <w:tmpl w:val="E2AB3A11"/>
    <w:lvl w:ilvl="0" w:tentative="0">
      <w:start w:val="3"/>
      <w:numFmt w:val="decimal"/>
      <w:suff w:val="nothing"/>
      <w:lvlText w:val="（%1）"/>
      <w:lvlJc w:val="left"/>
    </w:lvl>
  </w:abstractNum>
  <w:abstractNum w:abstractNumId="5">
    <w:nsid w:val="1059F036"/>
    <w:multiLevelType w:val="singleLevel"/>
    <w:tmpl w:val="1059F036"/>
    <w:lvl w:ilvl="0" w:tentative="0">
      <w:start w:val="4"/>
      <w:numFmt w:val="decimal"/>
      <w:suff w:val="nothing"/>
      <w:lvlText w:val="（%1）"/>
      <w:lvlJc w:val="left"/>
    </w:lvl>
  </w:abstractNum>
  <w:abstractNum w:abstractNumId="6">
    <w:nsid w:val="12121A48"/>
    <w:multiLevelType w:val="singleLevel"/>
    <w:tmpl w:val="12121A48"/>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7">
    <w:nsid w:val="324ADE17"/>
    <w:multiLevelType w:val="singleLevel"/>
    <w:tmpl w:val="324ADE17"/>
    <w:lvl w:ilvl="0" w:tentative="0">
      <w:start w:val="1"/>
      <w:numFmt w:val="chineseCounting"/>
      <w:suff w:val="nothing"/>
      <w:lvlText w:val="%1、"/>
      <w:lvlJc w:val="left"/>
      <w:rPr>
        <w:rFonts w:hint="eastAsia"/>
      </w:rPr>
    </w:lvl>
  </w:abstractNum>
  <w:abstractNum w:abstractNumId="8">
    <w:nsid w:val="6A5C946B"/>
    <w:multiLevelType w:val="singleLevel"/>
    <w:tmpl w:val="6A5C946B"/>
    <w:lvl w:ilvl="0" w:tentative="0">
      <w:start w:val="2"/>
      <w:numFmt w:val="decimal"/>
      <w:suff w:val="nothing"/>
      <w:lvlText w:val="%1、"/>
      <w:lvlJc w:val="left"/>
    </w:lvl>
  </w:abstractNum>
  <w:num w:numId="1">
    <w:abstractNumId w:val="6"/>
  </w:num>
  <w:num w:numId="2">
    <w:abstractNumId w:val="5"/>
  </w:num>
  <w:num w:numId="3">
    <w:abstractNumId w:val="3"/>
  </w:num>
  <w:num w:numId="4">
    <w:abstractNumId w:val="1"/>
  </w:num>
  <w:num w:numId="5">
    <w:abstractNumId w:val="4"/>
  </w:num>
  <w:num w:numId="6">
    <w:abstractNumId w:val="0"/>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541D44"/>
    <w:rsid w:val="00573CF9"/>
    <w:rsid w:val="007958E0"/>
    <w:rsid w:val="00BF52BD"/>
    <w:rsid w:val="017B4F9F"/>
    <w:rsid w:val="01907575"/>
    <w:rsid w:val="01AF246D"/>
    <w:rsid w:val="01C00A60"/>
    <w:rsid w:val="01CC1BA5"/>
    <w:rsid w:val="01CD0681"/>
    <w:rsid w:val="021D2D7C"/>
    <w:rsid w:val="024F7A38"/>
    <w:rsid w:val="02587777"/>
    <w:rsid w:val="0260581D"/>
    <w:rsid w:val="02CF7FB2"/>
    <w:rsid w:val="02DA7322"/>
    <w:rsid w:val="03373831"/>
    <w:rsid w:val="038A2A20"/>
    <w:rsid w:val="03DE20C3"/>
    <w:rsid w:val="03E17E10"/>
    <w:rsid w:val="04667DA0"/>
    <w:rsid w:val="048C1027"/>
    <w:rsid w:val="049006D3"/>
    <w:rsid w:val="04A82509"/>
    <w:rsid w:val="04BC08B4"/>
    <w:rsid w:val="04CE763A"/>
    <w:rsid w:val="04D7339F"/>
    <w:rsid w:val="0528726B"/>
    <w:rsid w:val="056252CD"/>
    <w:rsid w:val="05816FE5"/>
    <w:rsid w:val="05A94AB8"/>
    <w:rsid w:val="05AD05FD"/>
    <w:rsid w:val="05BB24F7"/>
    <w:rsid w:val="05CA0CE8"/>
    <w:rsid w:val="05D22855"/>
    <w:rsid w:val="05F45A09"/>
    <w:rsid w:val="060F2843"/>
    <w:rsid w:val="06C929F2"/>
    <w:rsid w:val="07605935"/>
    <w:rsid w:val="07C32BC4"/>
    <w:rsid w:val="07D938A9"/>
    <w:rsid w:val="07E61381"/>
    <w:rsid w:val="082E6B42"/>
    <w:rsid w:val="08437BEA"/>
    <w:rsid w:val="08997697"/>
    <w:rsid w:val="08DF64FD"/>
    <w:rsid w:val="096858CD"/>
    <w:rsid w:val="096D1D5A"/>
    <w:rsid w:val="09954E0D"/>
    <w:rsid w:val="09AF4121"/>
    <w:rsid w:val="09E97675"/>
    <w:rsid w:val="0A297C94"/>
    <w:rsid w:val="0A6B74A7"/>
    <w:rsid w:val="0AB65FA8"/>
    <w:rsid w:val="0AF630D3"/>
    <w:rsid w:val="0B0F2775"/>
    <w:rsid w:val="0B1B2961"/>
    <w:rsid w:val="0B2E72C7"/>
    <w:rsid w:val="0BB24941"/>
    <w:rsid w:val="0BC02285"/>
    <w:rsid w:val="0BEC2BDA"/>
    <w:rsid w:val="0D026C09"/>
    <w:rsid w:val="0D9A7DDF"/>
    <w:rsid w:val="0DC3421D"/>
    <w:rsid w:val="0E42306B"/>
    <w:rsid w:val="0E4954BA"/>
    <w:rsid w:val="0E4B63E2"/>
    <w:rsid w:val="0E582D88"/>
    <w:rsid w:val="0F052A35"/>
    <w:rsid w:val="0F503CB0"/>
    <w:rsid w:val="0FDA58FA"/>
    <w:rsid w:val="104C400B"/>
    <w:rsid w:val="1077277E"/>
    <w:rsid w:val="10AA3894"/>
    <w:rsid w:val="110034B4"/>
    <w:rsid w:val="11595ECC"/>
    <w:rsid w:val="11820AD5"/>
    <w:rsid w:val="11DC71F8"/>
    <w:rsid w:val="12022F74"/>
    <w:rsid w:val="12092610"/>
    <w:rsid w:val="120E5E65"/>
    <w:rsid w:val="12126709"/>
    <w:rsid w:val="125A3098"/>
    <w:rsid w:val="129D771A"/>
    <w:rsid w:val="12A1023C"/>
    <w:rsid w:val="12B256A7"/>
    <w:rsid w:val="12CC5D44"/>
    <w:rsid w:val="12DB200A"/>
    <w:rsid w:val="1310375B"/>
    <w:rsid w:val="131A2E7F"/>
    <w:rsid w:val="132E72DF"/>
    <w:rsid w:val="1356669B"/>
    <w:rsid w:val="13B11216"/>
    <w:rsid w:val="13F371C9"/>
    <w:rsid w:val="141166AC"/>
    <w:rsid w:val="141258FF"/>
    <w:rsid w:val="14245267"/>
    <w:rsid w:val="144475A5"/>
    <w:rsid w:val="147A2735"/>
    <w:rsid w:val="14921499"/>
    <w:rsid w:val="1495455F"/>
    <w:rsid w:val="14BF17D8"/>
    <w:rsid w:val="14D96CCA"/>
    <w:rsid w:val="14DD70DD"/>
    <w:rsid w:val="155B33AF"/>
    <w:rsid w:val="15AD5965"/>
    <w:rsid w:val="15D55268"/>
    <w:rsid w:val="160B58F5"/>
    <w:rsid w:val="16101FC1"/>
    <w:rsid w:val="16187F20"/>
    <w:rsid w:val="16421E79"/>
    <w:rsid w:val="16E470DD"/>
    <w:rsid w:val="16FE0496"/>
    <w:rsid w:val="1706617A"/>
    <w:rsid w:val="1715639E"/>
    <w:rsid w:val="17BA4F64"/>
    <w:rsid w:val="18014675"/>
    <w:rsid w:val="18EE4ED2"/>
    <w:rsid w:val="192E61A7"/>
    <w:rsid w:val="19361856"/>
    <w:rsid w:val="1946136E"/>
    <w:rsid w:val="194C50EA"/>
    <w:rsid w:val="19873A68"/>
    <w:rsid w:val="19977D8A"/>
    <w:rsid w:val="19A21F94"/>
    <w:rsid w:val="19EF65D1"/>
    <w:rsid w:val="1A027F67"/>
    <w:rsid w:val="1A631F51"/>
    <w:rsid w:val="1AC94512"/>
    <w:rsid w:val="1AE52777"/>
    <w:rsid w:val="1AF1728D"/>
    <w:rsid w:val="1B4D19EC"/>
    <w:rsid w:val="1B8F1967"/>
    <w:rsid w:val="1C093EC9"/>
    <w:rsid w:val="1C155249"/>
    <w:rsid w:val="1C6B5EFC"/>
    <w:rsid w:val="1D1B1FF3"/>
    <w:rsid w:val="1D340E58"/>
    <w:rsid w:val="1D397994"/>
    <w:rsid w:val="1D547061"/>
    <w:rsid w:val="1D76630A"/>
    <w:rsid w:val="1D7E411F"/>
    <w:rsid w:val="1DAF4CFD"/>
    <w:rsid w:val="1DFE0D7B"/>
    <w:rsid w:val="1E4B0A5F"/>
    <w:rsid w:val="1E4E5E22"/>
    <w:rsid w:val="1E7D6A73"/>
    <w:rsid w:val="1E7E3C6A"/>
    <w:rsid w:val="1EB47EC4"/>
    <w:rsid w:val="1EC9341E"/>
    <w:rsid w:val="1FC55445"/>
    <w:rsid w:val="1FFB3389"/>
    <w:rsid w:val="20032679"/>
    <w:rsid w:val="205729C5"/>
    <w:rsid w:val="20665C82"/>
    <w:rsid w:val="206F5F60"/>
    <w:rsid w:val="208644DB"/>
    <w:rsid w:val="20FF7400"/>
    <w:rsid w:val="210E44F1"/>
    <w:rsid w:val="21173701"/>
    <w:rsid w:val="21522515"/>
    <w:rsid w:val="21A30A72"/>
    <w:rsid w:val="21DC7694"/>
    <w:rsid w:val="22176285"/>
    <w:rsid w:val="22713E00"/>
    <w:rsid w:val="228522B6"/>
    <w:rsid w:val="2398122F"/>
    <w:rsid w:val="23A443D5"/>
    <w:rsid w:val="23AC477C"/>
    <w:rsid w:val="23FC35F5"/>
    <w:rsid w:val="24012BDA"/>
    <w:rsid w:val="240E47E1"/>
    <w:rsid w:val="24172581"/>
    <w:rsid w:val="241938C6"/>
    <w:rsid w:val="241E790F"/>
    <w:rsid w:val="24280900"/>
    <w:rsid w:val="24412AAC"/>
    <w:rsid w:val="24681CC6"/>
    <w:rsid w:val="24D7741E"/>
    <w:rsid w:val="24DD5F1B"/>
    <w:rsid w:val="25164BFC"/>
    <w:rsid w:val="258904E7"/>
    <w:rsid w:val="25957022"/>
    <w:rsid w:val="25CC4D0E"/>
    <w:rsid w:val="25E46BBE"/>
    <w:rsid w:val="26596B3B"/>
    <w:rsid w:val="265B1C78"/>
    <w:rsid w:val="265B4F90"/>
    <w:rsid w:val="26A31BB3"/>
    <w:rsid w:val="26FD2D09"/>
    <w:rsid w:val="273A1FB8"/>
    <w:rsid w:val="276F4A05"/>
    <w:rsid w:val="27715C8F"/>
    <w:rsid w:val="277C693F"/>
    <w:rsid w:val="27980993"/>
    <w:rsid w:val="27C02FCA"/>
    <w:rsid w:val="27FF37B3"/>
    <w:rsid w:val="2808523B"/>
    <w:rsid w:val="286909E6"/>
    <w:rsid w:val="28A45831"/>
    <w:rsid w:val="28A818A5"/>
    <w:rsid w:val="28D822EF"/>
    <w:rsid w:val="28EC7856"/>
    <w:rsid w:val="28EC78DE"/>
    <w:rsid w:val="291A3E98"/>
    <w:rsid w:val="294D4829"/>
    <w:rsid w:val="295C1BFA"/>
    <w:rsid w:val="296C74E1"/>
    <w:rsid w:val="29743227"/>
    <w:rsid w:val="29894828"/>
    <w:rsid w:val="2A6A2D45"/>
    <w:rsid w:val="2A8F792B"/>
    <w:rsid w:val="2ACD11E5"/>
    <w:rsid w:val="2AD12091"/>
    <w:rsid w:val="2B050CFF"/>
    <w:rsid w:val="2B146082"/>
    <w:rsid w:val="2B8E3618"/>
    <w:rsid w:val="2BA066B9"/>
    <w:rsid w:val="2BA74026"/>
    <w:rsid w:val="2C0D4769"/>
    <w:rsid w:val="2C491D5B"/>
    <w:rsid w:val="2C656218"/>
    <w:rsid w:val="2C7147BB"/>
    <w:rsid w:val="2C876B79"/>
    <w:rsid w:val="2CB573F1"/>
    <w:rsid w:val="2CBF2CCA"/>
    <w:rsid w:val="2CBF4F5D"/>
    <w:rsid w:val="2D172DB1"/>
    <w:rsid w:val="2D1F6BD1"/>
    <w:rsid w:val="2DB81759"/>
    <w:rsid w:val="2DCF4C09"/>
    <w:rsid w:val="2DDB5965"/>
    <w:rsid w:val="2EA45D13"/>
    <w:rsid w:val="2EC40214"/>
    <w:rsid w:val="2F070BCC"/>
    <w:rsid w:val="2F0D5BDD"/>
    <w:rsid w:val="2F4405B8"/>
    <w:rsid w:val="2F6805A2"/>
    <w:rsid w:val="2F846798"/>
    <w:rsid w:val="2FB026C8"/>
    <w:rsid w:val="2FDF35E1"/>
    <w:rsid w:val="2FEC137B"/>
    <w:rsid w:val="2FFD2197"/>
    <w:rsid w:val="2FFF35DB"/>
    <w:rsid w:val="301349D9"/>
    <w:rsid w:val="30243C31"/>
    <w:rsid w:val="3029612C"/>
    <w:rsid w:val="30313418"/>
    <w:rsid w:val="30BA2169"/>
    <w:rsid w:val="312331DF"/>
    <w:rsid w:val="31412E1B"/>
    <w:rsid w:val="314E4F18"/>
    <w:rsid w:val="315119C7"/>
    <w:rsid w:val="3181376E"/>
    <w:rsid w:val="31903E13"/>
    <w:rsid w:val="322F1B4E"/>
    <w:rsid w:val="32CB178B"/>
    <w:rsid w:val="33152997"/>
    <w:rsid w:val="33163192"/>
    <w:rsid w:val="335E3422"/>
    <w:rsid w:val="337B0F6B"/>
    <w:rsid w:val="337C646E"/>
    <w:rsid w:val="337E21EB"/>
    <w:rsid w:val="337F1680"/>
    <w:rsid w:val="33CF06AC"/>
    <w:rsid w:val="33D20888"/>
    <w:rsid w:val="33F538F6"/>
    <w:rsid w:val="34516781"/>
    <w:rsid w:val="34536B37"/>
    <w:rsid w:val="346A2504"/>
    <w:rsid w:val="34711390"/>
    <w:rsid w:val="34880653"/>
    <w:rsid w:val="353206A2"/>
    <w:rsid w:val="3545703C"/>
    <w:rsid w:val="35634299"/>
    <w:rsid w:val="358336E8"/>
    <w:rsid w:val="35E67ADC"/>
    <w:rsid w:val="360769A3"/>
    <w:rsid w:val="3647227D"/>
    <w:rsid w:val="365E28A7"/>
    <w:rsid w:val="367E147E"/>
    <w:rsid w:val="369A2841"/>
    <w:rsid w:val="36B403ED"/>
    <w:rsid w:val="373F384D"/>
    <w:rsid w:val="37C246F5"/>
    <w:rsid w:val="380354B4"/>
    <w:rsid w:val="38354281"/>
    <w:rsid w:val="38593E3A"/>
    <w:rsid w:val="388B215A"/>
    <w:rsid w:val="38A24A1F"/>
    <w:rsid w:val="38CA4E6D"/>
    <w:rsid w:val="38CC4331"/>
    <w:rsid w:val="38CE5AC2"/>
    <w:rsid w:val="3902576C"/>
    <w:rsid w:val="3912755B"/>
    <w:rsid w:val="39606E93"/>
    <w:rsid w:val="39667606"/>
    <w:rsid w:val="397A273F"/>
    <w:rsid w:val="399500AD"/>
    <w:rsid w:val="39970CAE"/>
    <w:rsid w:val="39C11183"/>
    <w:rsid w:val="39F75DC4"/>
    <w:rsid w:val="3A273237"/>
    <w:rsid w:val="3A391184"/>
    <w:rsid w:val="3A696AD9"/>
    <w:rsid w:val="3AC5623E"/>
    <w:rsid w:val="3AD01936"/>
    <w:rsid w:val="3AD67296"/>
    <w:rsid w:val="3B0C4680"/>
    <w:rsid w:val="3B4402BD"/>
    <w:rsid w:val="3B6224F2"/>
    <w:rsid w:val="3BE504D6"/>
    <w:rsid w:val="3C0B07C5"/>
    <w:rsid w:val="3C143398"/>
    <w:rsid w:val="3C636521"/>
    <w:rsid w:val="3C7F11EE"/>
    <w:rsid w:val="3C8B3357"/>
    <w:rsid w:val="3D09356D"/>
    <w:rsid w:val="3D517670"/>
    <w:rsid w:val="3DA70690"/>
    <w:rsid w:val="3DC435B7"/>
    <w:rsid w:val="3E3913D7"/>
    <w:rsid w:val="3E52347E"/>
    <w:rsid w:val="3E66679D"/>
    <w:rsid w:val="3EA11396"/>
    <w:rsid w:val="3EB65477"/>
    <w:rsid w:val="3EBD06AF"/>
    <w:rsid w:val="3F2C2970"/>
    <w:rsid w:val="3F704BD4"/>
    <w:rsid w:val="3F9F3D14"/>
    <w:rsid w:val="3FB51C18"/>
    <w:rsid w:val="3FCB5D8F"/>
    <w:rsid w:val="3FF05D87"/>
    <w:rsid w:val="40173F6D"/>
    <w:rsid w:val="40196ACB"/>
    <w:rsid w:val="403E4F4B"/>
    <w:rsid w:val="40445456"/>
    <w:rsid w:val="4044721B"/>
    <w:rsid w:val="40596D74"/>
    <w:rsid w:val="405B57EB"/>
    <w:rsid w:val="407E73CA"/>
    <w:rsid w:val="40BB2DD0"/>
    <w:rsid w:val="40CF4BC3"/>
    <w:rsid w:val="40DA5021"/>
    <w:rsid w:val="41074175"/>
    <w:rsid w:val="41425723"/>
    <w:rsid w:val="415A4796"/>
    <w:rsid w:val="41AF776A"/>
    <w:rsid w:val="41B44920"/>
    <w:rsid w:val="423F1A50"/>
    <w:rsid w:val="42442951"/>
    <w:rsid w:val="42752FE7"/>
    <w:rsid w:val="431F4E4D"/>
    <w:rsid w:val="43356819"/>
    <w:rsid w:val="433B1FA6"/>
    <w:rsid w:val="43486F88"/>
    <w:rsid w:val="43AC5D60"/>
    <w:rsid w:val="44191BBB"/>
    <w:rsid w:val="443E7EC2"/>
    <w:rsid w:val="4445396E"/>
    <w:rsid w:val="44E03674"/>
    <w:rsid w:val="44F527F3"/>
    <w:rsid w:val="45080E8A"/>
    <w:rsid w:val="450A1806"/>
    <w:rsid w:val="453F44A7"/>
    <w:rsid w:val="45834489"/>
    <w:rsid w:val="45901F42"/>
    <w:rsid w:val="45DF2D27"/>
    <w:rsid w:val="45F8488D"/>
    <w:rsid w:val="469C40A6"/>
    <w:rsid w:val="46A52527"/>
    <w:rsid w:val="46B54B76"/>
    <w:rsid w:val="46F67091"/>
    <w:rsid w:val="480A63EB"/>
    <w:rsid w:val="480E669F"/>
    <w:rsid w:val="48452B2F"/>
    <w:rsid w:val="484B5DB5"/>
    <w:rsid w:val="486755EB"/>
    <w:rsid w:val="48697384"/>
    <w:rsid w:val="486D154D"/>
    <w:rsid w:val="49431843"/>
    <w:rsid w:val="49667651"/>
    <w:rsid w:val="49716207"/>
    <w:rsid w:val="498B2E59"/>
    <w:rsid w:val="49963040"/>
    <w:rsid w:val="4A197060"/>
    <w:rsid w:val="4A1D65CC"/>
    <w:rsid w:val="4A357A0A"/>
    <w:rsid w:val="4A7B2E14"/>
    <w:rsid w:val="4A8C063F"/>
    <w:rsid w:val="4A8D520D"/>
    <w:rsid w:val="4A995804"/>
    <w:rsid w:val="4AA303D3"/>
    <w:rsid w:val="4BA12AEB"/>
    <w:rsid w:val="4BC1275B"/>
    <w:rsid w:val="4BCA0873"/>
    <w:rsid w:val="4C070376"/>
    <w:rsid w:val="4C0E458F"/>
    <w:rsid w:val="4C176FF3"/>
    <w:rsid w:val="4C405CC7"/>
    <w:rsid w:val="4C5D7613"/>
    <w:rsid w:val="4C8525B9"/>
    <w:rsid w:val="4C8A73C3"/>
    <w:rsid w:val="4CC34068"/>
    <w:rsid w:val="4CC726EB"/>
    <w:rsid w:val="4CDA66B5"/>
    <w:rsid w:val="4CF8591B"/>
    <w:rsid w:val="4D534390"/>
    <w:rsid w:val="4D665494"/>
    <w:rsid w:val="4DA747BE"/>
    <w:rsid w:val="4E0045D6"/>
    <w:rsid w:val="4E2427E0"/>
    <w:rsid w:val="4E3A2F69"/>
    <w:rsid w:val="4E5C6246"/>
    <w:rsid w:val="4E962786"/>
    <w:rsid w:val="4EB363A6"/>
    <w:rsid w:val="4EC0347A"/>
    <w:rsid w:val="4EF70D4B"/>
    <w:rsid w:val="4F0C7024"/>
    <w:rsid w:val="4F58292C"/>
    <w:rsid w:val="4F656E69"/>
    <w:rsid w:val="4F7B6091"/>
    <w:rsid w:val="4F7C2EC9"/>
    <w:rsid w:val="4FA4294D"/>
    <w:rsid w:val="4FC24097"/>
    <w:rsid w:val="4FFE57BD"/>
    <w:rsid w:val="5003068C"/>
    <w:rsid w:val="501C7D59"/>
    <w:rsid w:val="505446A7"/>
    <w:rsid w:val="506643DA"/>
    <w:rsid w:val="5072152F"/>
    <w:rsid w:val="51087240"/>
    <w:rsid w:val="512E1069"/>
    <w:rsid w:val="517C36D4"/>
    <w:rsid w:val="51870AAC"/>
    <w:rsid w:val="518C1C1F"/>
    <w:rsid w:val="51C43A32"/>
    <w:rsid w:val="51F167D1"/>
    <w:rsid w:val="52C553E8"/>
    <w:rsid w:val="52D833FD"/>
    <w:rsid w:val="52FF2F0E"/>
    <w:rsid w:val="5313553A"/>
    <w:rsid w:val="536845DB"/>
    <w:rsid w:val="53786570"/>
    <w:rsid w:val="538D5B72"/>
    <w:rsid w:val="53EC1340"/>
    <w:rsid w:val="541D0431"/>
    <w:rsid w:val="545C409C"/>
    <w:rsid w:val="5463135D"/>
    <w:rsid w:val="54BF0668"/>
    <w:rsid w:val="54E87AB4"/>
    <w:rsid w:val="551D1C19"/>
    <w:rsid w:val="552D196B"/>
    <w:rsid w:val="55305E8A"/>
    <w:rsid w:val="55805F3E"/>
    <w:rsid w:val="559E5608"/>
    <w:rsid w:val="55A3403E"/>
    <w:rsid w:val="55CC5C27"/>
    <w:rsid w:val="55D017E1"/>
    <w:rsid w:val="55DA564E"/>
    <w:rsid w:val="55DE12D9"/>
    <w:rsid w:val="55F25012"/>
    <w:rsid w:val="560A4E39"/>
    <w:rsid w:val="56472142"/>
    <w:rsid w:val="56510C3A"/>
    <w:rsid w:val="56656E3E"/>
    <w:rsid w:val="568D7C2E"/>
    <w:rsid w:val="56E46059"/>
    <w:rsid w:val="57020275"/>
    <w:rsid w:val="57234DD3"/>
    <w:rsid w:val="57EC1064"/>
    <w:rsid w:val="57F86096"/>
    <w:rsid w:val="580C2B4A"/>
    <w:rsid w:val="5822393B"/>
    <w:rsid w:val="58273339"/>
    <w:rsid w:val="584D1C0F"/>
    <w:rsid w:val="584E3FA9"/>
    <w:rsid w:val="587625CC"/>
    <w:rsid w:val="58C223CA"/>
    <w:rsid w:val="58E126A4"/>
    <w:rsid w:val="58E44DEA"/>
    <w:rsid w:val="58ED511A"/>
    <w:rsid w:val="58F033DB"/>
    <w:rsid w:val="590B2FE3"/>
    <w:rsid w:val="594A3CE7"/>
    <w:rsid w:val="594B21AB"/>
    <w:rsid w:val="59615F2E"/>
    <w:rsid w:val="59B50A0F"/>
    <w:rsid w:val="59CA75E3"/>
    <w:rsid w:val="59F760A3"/>
    <w:rsid w:val="5A525801"/>
    <w:rsid w:val="5A541D44"/>
    <w:rsid w:val="5A5654C0"/>
    <w:rsid w:val="5A5E0BCB"/>
    <w:rsid w:val="5A8C2C8F"/>
    <w:rsid w:val="5AD16BA8"/>
    <w:rsid w:val="5ADA0244"/>
    <w:rsid w:val="5B642ABD"/>
    <w:rsid w:val="5B726EEF"/>
    <w:rsid w:val="5B920B84"/>
    <w:rsid w:val="5BB31FD4"/>
    <w:rsid w:val="5BB560BF"/>
    <w:rsid w:val="5C30624D"/>
    <w:rsid w:val="5C514565"/>
    <w:rsid w:val="5C530585"/>
    <w:rsid w:val="5C66108E"/>
    <w:rsid w:val="5C6C615B"/>
    <w:rsid w:val="5C7A6597"/>
    <w:rsid w:val="5CA32F98"/>
    <w:rsid w:val="5CBF56D6"/>
    <w:rsid w:val="5CC44962"/>
    <w:rsid w:val="5D017965"/>
    <w:rsid w:val="5D442182"/>
    <w:rsid w:val="5DAB167E"/>
    <w:rsid w:val="5DB22A0D"/>
    <w:rsid w:val="5DBE51F1"/>
    <w:rsid w:val="5DC92A61"/>
    <w:rsid w:val="5DD70BA1"/>
    <w:rsid w:val="5DDE115C"/>
    <w:rsid w:val="5DE5472B"/>
    <w:rsid w:val="5E046B11"/>
    <w:rsid w:val="5E3F4F9E"/>
    <w:rsid w:val="5E547B11"/>
    <w:rsid w:val="5E5B1098"/>
    <w:rsid w:val="5EC75FCE"/>
    <w:rsid w:val="5ED85D88"/>
    <w:rsid w:val="5F2B2A77"/>
    <w:rsid w:val="5F36567E"/>
    <w:rsid w:val="5F3B6AF1"/>
    <w:rsid w:val="5F994966"/>
    <w:rsid w:val="60545537"/>
    <w:rsid w:val="60582F86"/>
    <w:rsid w:val="606426A5"/>
    <w:rsid w:val="60B86C79"/>
    <w:rsid w:val="6113269F"/>
    <w:rsid w:val="611D6BCD"/>
    <w:rsid w:val="614E087A"/>
    <w:rsid w:val="61554CED"/>
    <w:rsid w:val="615553C3"/>
    <w:rsid w:val="61614E76"/>
    <w:rsid w:val="618112B9"/>
    <w:rsid w:val="61CE0D5A"/>
    <w:rsid w:val="61E52B68"/>
    <w:rsid w:val="61F3516C"/>
    <w:rsid w:val="61FA40B3"/>
    <w:rsid w:val="62033520"/>
    <w:rsid w:val="624A5CB4"/>
    <w:rsid w:val="625A6286"/>
    <w:rsid w:val="62935A48"/>
    <w:rsid w:val="631C4126"/>
    <w:rsid w:val="633610B3"/>
    <w:rsid w:val="634422CC"/>
    <w:rsid w:val="63604CB9"/>
    <w:rsid w:val="63B05C41"/>
    <w:rsid w:val="63C54F0C"/>
    <w:rsid w:val="63D7637E"/>
    <w:rsid w:val="6429737B"/>
    <w:rsid w:val="647B3288"/>
    <w:rsid w:val="64A77044"/>
    <w:rsid w:val="64BC6D09"/>
    <w:rsid w:val="64E536C8"/>
    <w:rsid w:val="64EF4547"/>
    <w:rsid w:val="64F102BF"/>
    <w:rsid w:val="650A0E75"/>
    <w:rsid w:val="652A5FC7"/>
    <w:rsid w:val="655432E9"/>
    <w:rsid w:val="658811DC"/>
    <w:rsid w:val="658F7152"/>
    <w:rsid w:val="65A00533"/>
    <w:rsid w:val="65BB267B"/>
    <w:rsid w:val="65DA55E8"/>
    <w:rsid w:val="661A3845"/>
    <w:rsid w:val="66551E8A"/>
    <w:rsid w:val="66611474"/>
    <w:rsid w:val="666D26FA"/>
    <w:rsid w:val="669A6CF4"/>
    <w:rsid w:val="66FF2D41"/>
    <w:rsid w:val="67081010"/>
    <w:rsid w:val="673A5DE2"/>
    <w:rsid w:val="67755D57"/>
    <w:rsid w:val="677961F6"/>
    <w:rsid w:val="6793565D"/>
    <w:rsid w:val="679C4D09"/>
    <w:rsid w:val="67B40F4D"/>
    <w:rsid w:val="67D55E24"/>
    <w:rsid w:val="681F0BF4"/>
    <w:rsid w:val="68295FC1"/>
    <w:rsid w:val="684D1945"/>
    <w:rsid w:val="686B01BA"/>
    <w:rsid w:val="68C06926"/>
    <w:rsid w:val="68ED5241"/>
    <w:rsid w:val="68F22857"/>
    <w:rsid w:val="691A01D3"/>
    <w:rsid w:val="69426DB4"/>
    <w:rsid w:val="694F3386"/>
    <w:rsid w:val="695465A4"/>
    <w:rsid w:val="69DB153D"/>
    <w:rsid w:val="69EB01C2"/>
    <w:rsid w:val="69F543AD"/>
    <w:rsid w:val="6A6537AE"/>
    <w:rsid w:val="6A7E1EF5"/>
    <w:rsid w:val="6A815C41"/>
    <w:rsid w:val="6AD52463"/>
    <w:rsid w:val="6B2D6A6F"/>
    <w:rsid w:val="6B526B4D"/>
    <w:rsid w:val="6B6506FF"/>
    <w:rsid w:val="6BC6205F"/>
    <w:rsid w:val="6C6747F0"/>
    <w:rsid w:val="6C736D93"/>
    <w:rsid w:val="6CC87CFF"/>
    <w:rsid w:val="6D533A04"/>
    <w:rsid w:val="6D611D5A"/>
    <w:rsid w:val="6D78769F"/>
    <w:rsid w:val="6D8B5AAB"/>
    <w:rsid w:val="6D942A3A"/>
    <w:rsid w:val="6DB34398"/>
    <w:rsid w:val="6DC85B1B"/>
    <w:rsid w:val="6DF130DE"/>
    <w:rsid w:val="6E3F621B"/>
    <w:rsid w:val="6E614AFD"/>
    <w:rsid w:val="6E682DB5"/>
    <w:rsid w:val="6EB1360D"/>
    <w:rsid w:val="6EE712B2"/>
    <w:rsid w:val="6F193C68"/>
    <w:rsid w:val="6F364B80"/>
    <w:rsid w:val="6F375468"/>
    <w:rsid w:val="6F406688"/>
    <w:rsid w:val="6F523ED1"/>
    <w:rsid w:val="6F620ED0"/>
    <w:rsid w:val="6FC93762"/>
    <w:rsid w:val="6FDB228A"/>
    <w:rsid w:val="70620E1B"/>
    <w:rsid w:val="706D7100"/>
    <w:rsid w:val="7070593F"/>
    <w:rsid w:val="708D58A6"/>
    <w:rsid w:val="70A34F00"/>
    <w:rsid w:val="70D00087"/>
    <w:rsid w:val="70ED0DB6"/>
    <w:rsid w:val="7104581E"/>
    <w:rsid w:val="71200FD5"/>
    <w:rsid w:val="718E275D"/>
    <w:rsid w:val="71E76106"/>
    <w:rsid w:val="71FD482A"/>
    <w:rsid w:val="721C602F"/>
    <w:rsid w:val="722241AD"/>
    <w:rsid w:val="72B73CFC"/>
    <w:rsid w:val="72E71B23"/>
    <w:rsid w:val="730F7446"/>
    <w:rsid w:val="733D155B"/>
    <w:rsid w:val="734D525A"/>
    <w:rsid w:val="735A4B17"/>
    <w:rsid w:val="735F03B8"/>
    <w:rsid w:val="736D76AA"/>
    <w:rsid w:val="7400051E"/>
    <w:rsid w:val="740111EC"/>
    <w:rsid w:val="744D3038"/>
    <w:rsid w:val="745B39A7"/>
    <w:rsid w:val="745D7E15"/>
    <w:rsid w:val="748E28B8"/>
    <w:rsid w:val="75035F55"/>
    <w:rsid w:val="75311340"/>
    <w:rsid w:val="755D1930"/>
    <w:rsid w:val="755F6208"/>
    <w:rsid w:val="75624C21"/>
    <w:rsid w:val="757C7F89"/>
    <w:rsid w:val="758C4A24"/>
    <w:rsid w:val="75C66EF5"/>
    <w:rsid w:val="75EF25F8"/>
    <w:rsid w:val="76011930"/>
    <w:rsid w:val="764A3CD3"/>
    <w:rsid w:val="768A1923"/>
    <w:rsid w:val="768F2225"/>
    <w:rsid w:val="76965238"/>
    <w:rsid w:val="76A1458C"/>
    <w:rsid w:val="76DA32A9"/>
    <w:rsid w:val="76DA397B"/>
    <w:rsid w:val="77172462"/>
    <w:rsid w:val="77357ABA"/>
    <w:rsid w:val="77507E09"/>
    <w:rsid w:val="77AC4F7D"/>
    <w:rsid w:val="781008C2"/>
    <w:rsid w:val="78131A8A"/>
    <w:rsid w:val="7856695F"/>
    <w:rsid w:val="78592B9E"/>
    <w:rsid w:val="787C089E"/>
    <w:rsid w:val="78895CA5"/>
    <w:rsid w:val="78CB4004"/>
    <w:rsid w:val="78D51955"/>
    <w:rsid w:val="794471A6"/>
    <w:rsid w:val="79870D9A"/>
    <w:rsid w:val="799B1C8D"/>
    <w:rsid w:val="79A406BE"/>
    <w:rsid w:val="79CB4E48"/>
    <w:rsid w:val="79EC0789"/>
    <w:rsid w:val="7A460BE1"/>
    <w:rsid w:val="7AB078B5"/>
    <w:rsid w:val="7AB95B8E"/>
    <w:rsid w:val="7AD4406E"/>
    <w:rsid w:val="7AF736BE"/>
    <w:rsid w:val="7B060822"/>
    <w:rsid w:val="7B3776F4"/>
    <w:rsid w:val="7B4B6285"/>
    <w:rsid w:val="7B945DD4"/>
    <w:rsid w:val="7BC361C6"/>
    <w:rsid w:val="7BD53ACF"/>
    <w:rsid w:val="7BF070CA"/>
    <w:rsid w:val="7C0B615F"/>
    <w:rsid w:val="7C126E91"/>
    <w:rsid w:val="7C402806"/>
    <w:rsid w:val="7C524C25"/>
    <w:rsid w:val="7C725D31"/>
    <w:rsid w:val="7C7E03D8"/>
    <w:rsid w:val="7C943EFA"/>
    <w:rsid w:val="7CA12173"/>
    <w:rsid w:val="7CA46979"/>
    <w:rsid w:val="7CDB38D7"/>
    <w:rsid w:val="7CDF0E84"/>
    <w:rsid w:val="7CFC361E"/>
    <w:rsid w:val="7D190E05"/>
    <w:rsid w:val="7D2D5AEA"/>
    <w:rsid w:val="7D7F551F"/>
    <w:rsid w:val="7DE50C9D"/>
    <w:rsid w:val="7DF52776"/>
    <w:rsid w:val="7E3219E2"/>
    <w:rsid w:val="7E342E45"/>
    <w:rsid w:val="7E4B783E"/>
    <w:rsid w:val="7E536206"/>
    <w:rsid w:val="7E877E36"/>
    <w:rsid w:val="7EBE32F3"/>
    <w:rsid w:val="7ED15760"/>
    <w:rsid w:val="7EF251F5"/>
    <w:rsid w:val="7F40154F"/>
    <w:rsid w:val="7FC677BF"/>
    <w:rsid w:val="7FDB44F6"/>
    <w:rsid w:val="7FEB6E7F"/>
    <w:rsid w:val="7FEC3D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720" w:firstLineChars="200"/>
      <w:jc w:val="both"/>
    </w:pPr>
    <w:rPr>
      <w:rFonts w:ascii="Times New Roman" w:hAnsi="Times New Roman" w:eastAsia="宋体" w:cs="Times New Roman"/>
      <w:kern w:val="2"/>
      <w:sz w:val="24"/>
      <w:szCs w:val="24"/>
      <w:lang w:val="en-US" w:eastAsia="zh-CN" w:bidi="ar-SA"/>
    </w:rPr>
  </w:style>
  <w:style w:type="paragraph" w:styleId="5">
    <w:name w:val="heading 2"/>
    <w:basedOn w:val="1"/>
    <w:next w:val="1"/>
    <w:qFormat/>
    <w:uiPriority w:val="9"/>
    <w:pPr>
      <w:keepNext/>
      <w:keepLines/>
      <w:ind w:firstLine="0" w:firstLineChars="0"/>
      <w:jc w:val="left"/>
      <w:outlineLvl w:val="1"/>
    </w:pPr>
    <w:rPr>
      <w:b/>
      <w:bCs/>
      <w:sz w:val="28"/>
      <w:szCs w:val="32"/>
    </w:rPr>
  </w:style>
  <w:style w:type="paragraph" w:styleId="6">
    <w:name w:val="heading 3"/>
    <w:basedOn w:val="1"/>
    <w:next w:val="1"/>
    <w:qFormat/>
    <w:uiPriority w:val="0"/>
    <w:pPr>
      <w:keepNext/>
      <w:keepLines/>
      <w:ind w:firstLine="0" w:firstLineChars="0"/>
      <w:jc w:val="left"/>
      <w:outlineLvl w:val="2"/>
    </w:pPr>
    <w:rPr>
      <w:b/>
      <w:bCs/>
      <w:szCs w:val="30"/>
    </w:rPr>
  </w:style>
  <w:style w:type="paragraph" w:styleId="7">
    <w:name w:val="heading 4"/>
    <w:basedOn w:val="1"/>
    <w:next w:val="1"/>
    <w:link w:val="57"/>
    <w:unhideWhenUsed/>
    <w:qFormat/>
    <w:uiPriority w:val="0"/>
    <w:pPr>
      <w:keepNext/>
      <w:keepLines/>
      <w:ind w:firstLine="0" w:firstLineChars="0"/>
      <w:outlineLvl w:val="3"/>
    </w:pPr>
    <w:rPr>
      <w:rFonts w:cstheme="majorBidi"/>
      <w:bCs/>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afterLines="0"/>
      <w:ind w:left="420" w:leftChars="200" w:firstLine="420"/>
    </w:pPr>
    <w:rPr>
      <w:rFonts w:ascii="Times New Roman" w:hAnsi="Times New Roman" w:eastAsia="宋体"/>
      <w:color w:val="auto"/>
      <w:sz w:val="21"/>
    </w:rPr>
  </w:style>
  <w:style w:type="paragraph" w:styleId="3">
    <w:name w:val="Body Text Indent"/>
    <w:basedOn w:val="1"/>
    <w:next w:val="4"/>
    <w:qFormat/>
    <w:uiPriority w:val="0"/>
    <w:pPr>
      <w:spacing w:after="120"/>
      <w:ind w:left="420" w:leftChars="200"/>
    </w:pPr>
    <w:rPr>
      <w:kern w:val="0"/>
      <w:sz w:val="24"/>
      <w:szCs w:val="20"/>
    </w:rPr>
  </w:style>
  <w:style w:type="paragraph" w:styleId="4">
    <w:name w:val="envelope return"/>
    <w:basedOn w:val="1"/>
    <w:unhideWhenUsed/>
    <w:qFormat/>
    <w:uiPriority w:val="99"/>
    <w:pPr>
      <w:snapToGrid w:val="0"/>
      <w:ind w:firstLine="723"/>
      <w:jc w:val="left"/>
    </w:pPr>
    <w:rPr>
      <w:rFonts w:ascii="Arial" w:hAnsi="Arial" w:cs="宋体"/>
    </w:rPr>
  </w:style>
  <w:style w:type="paragraph" w:styleId="8">
    <w:name w:val="Normal Indent"/>
    <w:basedOn w:val="1"/>
    <w:next w:val="2"/>
    <w:qFormat/>
    <w:uiPriority w:val="0"/>
    <w:rPr>
      <w:kern w:val="2"/>
      <w:sz w:val="28"/>
    </w:rPr>
  </w:style>
  <w:style w:type="paragraph" w:styleId="9">
    <w:name w:val="annotation text"/>
    <w:basedOn w:val="1"/>
    <w:qFormat/>
    <w:uiPriority w:val="0"/>
    <w:pPr>
      <w:jc w:val="left"/>
    </w:pPr>
  </w:style>
  <w:style w:type="paragraph" w:styleId="10">
    <w:name w:val="Salutation"/>
    <w:basedOn w:val="1"/>
    <w:next w:val="1"/>
    <w:qFormat/>
    <w:uiPriority w:val="0"/>
    <w:rPr>
      <w:rFonts w:ascii="Calibri" w:hAnsi="Calibri"/>
      <w:sz w:val="21"/>
    </w:rPr>
  </w:style>
  <w:style w:type="paragraph" w:styleId="11">
    <w:name w:val="Body Text"/>
    <w:basedOn w:val="1"/>
    <w:next w:val="12"/>
    <w:qFormat/>
    <w:uiPriority w:val="0"/>
    <w:pPr>
      <w:widowControl/>
      <w:snapToGrid w:val="0"/>
      <w:spacing w:before="60" w:after="160" w:line="259" w:lineRule="auto"/>
      <w:ind w:right="113"/>
    </w:pPr>
    <w:rPr>
      <w:kern w:val="0"/>
      <w:sz w:val="18"/>
      <w:szCs w:val="20"/>
    </w:rPr>
  </w:style>
  <w:style w:type="paragraph" w:customStyle="1" w:styleId="12">
    <w:name w:val="xl27"/>
    <w:basedOn w:val="1"/>
    <w:next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PMingLiU" w:eastAsia="PMingLiU" w:cs="Times New Roman"/>
      <w:kern w:val="0"/>
      <w:sz w:val="16"/>
      <w:szCs w:val="16"/>
      <w:lang w:eastAsia="zh-TW"/>
    </w:rPr>
  </w:style>
  <w:style w:type="paragraph" w:styleId="13">
    <w:name w:val="Plain Text"/>
    <w:basedOn w:val="1"/>
    <w:next w:val="10"/>
    <w:qFormat/>
    <w:uiPriority w:val="0"/>
    <w:rPr>
      <w:rFonts w:ascii="宋体" w:hAnsi="Courier New"/>
    </w:rPr>
  </w:style>
  <w:style w:type="paragraph" w:styleId="14">
    <w:name w:val="List Bullet 5"/>
    <w:basedOn w:val="1"/>
    <w:qFormat/>
    <w:uiPriority w:val="0"/>
    <w:pPr>
      <w:numPr>
        <w:ilvl w:val="0"/>
        <w:numId w:val="1"/>
      </w:numPr>
    </w:pPr>
  </w:style>
  <w:style w:type="paragraph" w:styleId="15">
    <w:name w:val="Body Text Indent 2"/>
    <w:basedOn w:val="1"/>
    <w:next w:val="2"/>
    <w:qFormat/>
    <w:uiPriority w:val="0"/>
    <w:pPr>
      <w:spacing w:line="620" w:lineRule="exact"/>
      <w:ind w:firstLine="570"/>
    </w:pPr>
  </w:style>
  <w:style w:type="paragraph" w:styleId="16">
    <w:name w:val="footer"/>
    <w:basedOn w:val="1"/>
    <w:next w:val="1"/>
    <w:qFormat/>
    <w:uiPriority w:val="0"/>
    <w:pPr>
      <w:tabs>
        <w:tab w:val="center" w:pos="4153"/>
        <w:tab w:val="right" w:pos="8306"/>
      </w:tabs>
      <w:snapToGrid w:val="0"/>
      <w:spacing w:line="240" w:lineRule="auto"/>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8">
    <w:name w:val="toc 1"/>
    <w:basedOn w:val="1"/>
    <w:next w:val="1"/>
    <w:qFormat/>
    <w:uiPriority w:val="0"/>
  </w:style>
  <w:style w:type="paragraph" w:styleId="19">
    <w:name w:val="index heading"/>
    <w:basedOn w:val="1"/>
    <w:next w:val="20"/>
    <w:qFormat/>
    <w:uiPriority w:val="0"/>
    <w:rPr>
      <w:color w:val="auto"/>
      <w:kern w:val="2"/>
      <w:szCs w:val="20"/>
    </w:rPr>
  </w:style>
  <w:style w:type="paragraph" w:styleId="20">
    <w:name w:val="index 1"/>
    <w:basedOn w:val="1"/>
    <w:next w:val="1"/>
    <w:semiHidden/>
    <w:qFormat/>
    <w:uiPriority w:val="0"/>
    <w:pPr>
      <w:ind w:firstLine="210" w:firstLineChars="100"/>
    </w:pPr>
  </w:style>
  <w:style w:type="paragraph" w:styleId="21">
    <w:name w:val="List"/>
    <w:basedOn w:val="1"/>
    <w:qFormat/>
    <w:uiPriority w:val="0"/>
    <w:pPr>
      <w:ind w:left="200" w:hanging="200" w:hangingChars="200"/>
    </w:pPr>
  </w:style>
  <w:style w:type="paragraph" w:styleId="22">
    <w:name w:val="table of figures"/>
    <w:basedOn w:val="1"/>
    <w:next w:val="1"/>
    <w:semiHidden/>
    <w:qFormat/>
    <w:uiPriority w:val="0"/>
    <w:pPr>
      <w:spacing w:after="120" w:line="500" w:lineRule="exact"/>
      <w:jc w:val="center"/>
    </w:pPr>
    <w:rPr>
      <w:rFonts w:ascii="仿宋_GB2312" w:eastAsia="仿宋_GB2312"/>
      <w:sz w:val="28"/>
    </w:rPr>
  </w:style>
  <w:style w:type="paragraph" w:styleId="23">
    <w:name w:val="Normal (Web)"/>
    <w:basedOn w:val="1"/>
    <w:qFormat/>
    <w:uiPriority w:val="0"/>
    <w:pPr>
      <w:widowControl/>
      <w:spacing w:before="100" w:beforeAutospacing="1" w:after="100" w:afterAutospacing="1"/>
      <w:jc w:val="left"/>
    </w:pPr>
    <w:rPr>
      <w:rFonts w:ascii="宋体" w:hAnsi="宋体" w:eastAsia="宋体" w:cs="Times New Roman"/>
      <w:kern w:val="0"/>
      <w:sz w:val="24"/>
      <w:szCs w:val="20"/>
      <w:lang w:val="en-US" w:eastAsia="zh-CN" w:bidi="ar-SA"/>
    </w:rPr>
  </w:style>
  <w:style w:type="paragraph" w:styleId="24">
    <w:name w:val="Body Text First Indent"/>
    <w:basedOn w:val="11"/>
    <w:next w:val="22"/>
    <w:qFormat/>
    <w:uiPriority w:val="99"/>
    <w:pPr>
      <w:spacing w:after="120"/>
      <w:ind w:firstLine="420" w:firstLineChars="100"/>
      <w:jc w:val="both"/>
    </w:pPr>
    <w:rPr>
      <w:szCs w:val="20"/>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annotation reference"/>
    <w:semiHidden/>
    <w:qFormat/>
    <w:uiPriority w:val="0"/>
    <w:rPr>
      <w:sz w:val="21"/>
    </w:rPr>
  </w:style>
  <w:style w:type="paragraph" w:customStyle="1" w:styleId="29">
    <w:name w:val="模板表头"/>
    <w:basedOn w:val="1"/>
    <w:qFormat/>
    <w:uiPriority w:val="0"/>
    <w:pPr>
      <w:adjustRightInd w:val="0"/>
      <w:snapToGrid w:val="0"/>
      <w:spacing w:line="360" w:lineRule="auto"/>
      <w:jc w:val="center"/>
    </w:pPr>
    <w:rPr>
      <w:rFonts w:cs="宋体"/>
      <w:kern w:val="0"/>
      <w:sz w:val="24"/>
      <w:szCs w:val="21"/>
    </w:rPr>
  </w:style>
  <w:style w:type="paragraph" w:customStyle="1" w:styleId="30">
    <w:name w:val="表格888"/>
    <w:basedOn w:val="1"/>
    <w:autoRedefine/>
    <w:qFormat/>
    <w:uiPriority w:val="0"/>
    <w:pPr>
      <w:spacing w:line="240" w:lineRule="auto"/>
      <w:ind w:firstLine="0" w:firstLineChars="0"/>
      <w:jc w:val="center"/>
    </w:pPr>
    <w:rPr>
      <w:bCs/>
      <w:sz w:val="21"/>
    </w:rPr>
  </w:style>
  <w:style w:type="paragraph" w:customStyle="1" w:styleId="31">
    <w:name w:val="正文zl"/>
    <w:basedOn w:val="32"/>
    <w:autoRedefine/>
    <w:qFormat/>
    <w:uiPriority w:val="0"/>
    <w:pPr>
      <w:spacing w:before="0" w:beforeLines="0"/>
      <w:ind w:firstLine="480" w:firstLineChars="200"/>
      <w:jc w:val="both"/>
    </w:pPr>
    <w:rPr>
      <w:b w:val="0"/>
      <w:bCs w:val="0"/>
      <w:szCs w:val="24"/>
    </w:rPr>
  </w:style>
  <w:style w:type="paragraph" w:customStyle="1" w:styleId="32">
    <w:name w:val="表BT"/>
    <w:basedOn w:val="1"/>
    <w:autoRedefine/>
    <w:qFormat/>
    <w:uiPriority w:val="0"/>
    <w:pPr>
      <w:spacing w:before="156" w:beforeLines="50"/>
      <w:jc w:val="center"/>
    </w:pPr>
    <w:rPr>
      <w:b/>
      <w:bCs/>
      <w:szCs w:val="21"/>
    </w:rPr>
  </w:style>
  <w:style w:type="paragraph" w:customStyle="1" w:styleId="33">
    <w:name w:val="Default"/>
    <w:basedOn w:val="34"/>
    <w:next w:val="35"/>
    <w:qFormat/>
    <w:uiPriority w:val="0"/>
    <w:pPr>
      <w:widowControl w:val="0"/>
      <w:autoSpaceDE w:val="0"/>
      <w:autoSpaceDN w:val="0"/>
      <w:adjustRightInd w:val="0"/>
    </w:pPr>
    <w:rPr>
      <w:rFonts w:ascii="Times New Roman" w:hAnsi="Times New Roman"/>
      <w:color w:val="000000"/>
      <w:sz w:val="24"/>
      <w:szCs w:val="24"/>
      <w:lang w:val="en-US" w:eastAsia="zh-CN" w:bidi="ar-SA"/>
    </w:rPr>
  </w:style>
  <w:style w:type="paragraph" w:customStyle="1" w:styleId="34">
    <w:name w:val="纯文本1"/>
    <w:basedOn w:val="1"/>
    <w:qFormat/>
    <w:uiPriority w:val="0"/>
    <w:pPr>
      <w:topLinePunct w:val="0"/>
      <w:spacing w:line="240" w:lineRule="auto"/>
      <w:jc w:val="both"/>
      <w:textAlignment w:val="baseline"/>
    </w:pPr>
    <w:rPr>
      <w:rFonts w:ascii="宋体" w:hAnsi="Courier New"/>
      <w:sz w:val="21"/>
      <w:szCs w:val="20"/>
    </w:rPr>
  </w:style>
  <w:style w:type="paragraph" w:customStyle="1" w:styleId="35">
    <w:name w:val="样式35"/>
    <w:basedOn w:val="1"/>
    <w:qFormat/>
    <w:uiPriority w:val="0"/>
    <w:pPr>
      <w:adjustRightInd w:val="0"/>
      <w:spacing w:line="312" w:lineRule="auto"/>
      <w:ind w:firstLine="567"/>
    </w:pPr>
    <w:rPr>
      <w:rFonts w:ascii="宋体"/>
      <w:kern w:val="0"/>
      <w:sz w:val="28"/>
    </w:rPr>
  </w:style>
  <w:style w:type="paragraph" w:customStyle="1" w:styleId="36">
    <w:name w:val="标题2"/>
    <w:basedOn w:val="1"/>
    <w:qFormat/>
    <w:uiPriority w:val="0"/>
    <w:rPr>
      <w:rFonts w:ascii="宋体" w:hAnsi="宋体" w:eastAsia="宋体" w:cs="Times New Roman"/>
      <w:b/>
      <w:kern w:val="0"/>
      <w:sz w:val="24"/>
      <w:szCs w:val="24"/>
    </w:rPr>
  </w:style>
  <w:style w:type="paragraph" w:customStyle="1" w:styleId="37">
    <w:name w:val="样式1"/>
    <w:basedOn w:val="19"/>
    <w:next w:val="1"/>
    <w:qFormat/>
    <w:uiPriority w:val="0"/>
    <w:pPr>
      <w:snapToGrid w:val="0"/>
      <w:jc w:val="center"/>
    </w:pPr>
    <w:rPr>
      <w:rFonts w:ascii="宋体" w:eastAsia="宋体"/>
      <w:sz w:val="21"/>
    </w:rPr>
  </w:style>
  <w:style w:type="paragraph" w:customStyle="1" w:styleId="38">
    <w:name w:val="正文_15"/>
    <w:qFormat/>
    <w:uiPriority w:val="0"/>
    <w:pPr>
      <w:widowControl w:val="0"/>
      <w:jc w:val="both"/>
    </w:pPr>
    <w:rPr>
      <w:rFonts w:ascii="Calibri" w:hAnsi="Calibri" w:eastAsia="宋体" w:cs="Times New Roman"/>
      <w:kern w:val="2"/>
      <w:sz w:val="21"/>
      <w:lang w:val="en-US" w:eastAsia="zh-CN" w:bidi="ar-SA"/>
    </w:rPr>
  </w:style>
  <w:style w:type="paragraph" w:customStyle="1" w:styleId="39">
    <w:name w:val="表格"/>
    <w:basedOn w:val="13"/>
    <w:next w:val="1"/>
    <w:autoRedefine/>
    <w:qFormat/>
    <w:uiPriority w:val="0"/>
    <w:pPr>
      <w:adjustRightInd w:val="0"/>
      <w:snapToGrid w:val="0"/>
      <w:spacing w:line="240" w:lineRule="auto"/>
      <w:ind w:firstLine="0" w:firstLineChars="0"/>
      <w:jc w:val="center"/>
    </w:pPr>
    <w:rPr>
      <w:kern w:val="0"/>
      <w:sz w:val="21"/>
      <w:szCs w:val="20"/>
    </w:rPr>
  </w:style>
  <w:style w:type="paragraph" w:customStyle="1" w:styleId="40">
    <w:name w:val="表头"/>
    <w:basedOn w:val="41"/>
    <w:next w:val="1"/>
    <w:autoRedefine/>
    <w:qFormat/>
    <w:uiPriority w:val="0"/>
    <w:pPr>
      <w:adjustRightInd w:val="0"/>
      <w:ind w:firstLine="0" w:firstLineChars="0"/>
      <w:jc w:val="center"/>
      <w:textAlignment w:val="baseline"/>
      <w:outlineLvl w:val="9"/>
    </w:pPr>
    <w:rPr>
      <w:rFonts w:ascii="Times New Roman" w:hAnsi="Times New Roman" w:eastAsia="宋体"/>
      <w:b/>
      <w:sz w:val="24"/>
    </w:rPr>
  </w:style>
  <w:style w:type="paragraph" w:customStyle="1" w:styleId="41">
    <w:name w:val="文本"/>
    <w:basedOn w:val="3"/>
    <w:next w:val="1"/>
    <w:autoRedefine/>
    <w:qFormat/>
    <w:uiPriority w:val="99"/>
    <w:pPr>
      <w:widowControl/>
      <w:spacing w:line="440" w:lineRule="exact"/>
      <w:jc w:val="left"/>
    </w:pPr>
  </w:style>
  <w:style w:type="paragraph" w:customStyle="1" w:styleId="42">
    <w:name w:val="报告正文"/>
    <w:basedOn w:val="43"/>
    <w:qFormat/>
    <w:uiPriority w:val="0"/>
    <w:pPr>
      <w:ind w:firstLine="482"/>
    </w:pPr>
    <w:rPr>
      <w:sz w:val="24"/>
      <w:szCs w:val="21"/>
    </w:rPr>
  </w:style>
  <w:style w:type="paragraph" w:customStyle="1" w:styleId="43">
    <w:name w:val="+正文"/>
    <w:basedOn w:val="1"/>
    <w:qFormat/>
    <w:uiPriority w:val="0"/>
    <w:pPr>
      <w:spacing w:line="360" w:lineRule="auto"/>
      <w:ind w:firstLine="200" w:firstLineChars="200"/>
    </w:pPr>
    <w:rPr>
      <w:szCs w:val="28"/>
    </w:rPr>
  </w:style>
  <w:style w:type="paragraph" w:customStyle="1" w:styleId="44">
    <w:name w:val="表格5188"/>
    <w:basedOn w:val="1"/>
    <w:autoRedefine/>
    <w:qFormat/>
    <w:uiPriority w:val="0"/>
    <w:pPr>
      <w:spacing w:line="240" w:lineRule="auto"/>
      <w:ind w:firstLine="0" w:firstLineChars="0"/>
      <w:jc w:val="center"/>
    </w:pPr>
    <w:rPr>
      <w:bCs/>
      <w:sz w:val="21"/>
    </w:rPr>
  </w:style>
  <w:style w:type="table" w:customStyle="1" w:styleId="45">
    <w:name w:val="Table Normal"/>
    <w:autoRedefine/>
    <w:unhideWhenUsed/>
    <w:qFormat/>
    <w:uiPriority w:val="0"/>
    <w:tblPr>
      <w:tblCellMar>
        <w:top w:w="0" w:type="dxa"/>
        <w:left w:w="0" w:type="dxa"/>
        <w:bottom w:w="0" w:type="dxa"/>
        <w:right w:w="0" w:type="dxa"/>
      </w:tblCellMar>
    </w:tblPr>
  </w:style>
  <w:style w:type="character" w:customStyle="1" w:styleId="46">
    <w:name w:val="font61"/>
    <w:basedOn w:val="27"/>
    <w:autoRedefine/>
    <w:qFormat/>
    <w:uiPriority w:val="0"/>
    <w:rPr>
      <w:rFonts w:hint="default" w:ascii="Times New Roman" w:hAnsi="Times New Roman" w:cs="Times New Roman"/>
      <w:color w:val="000000"/>
      <w:sz w:val="20"/>
      <w:szCs w:val="20"/>
      <w:u w:val="none"/>
    </w:rPr>
  </w:style>
  <w:style w:type="character" w:customStyle="1" w:styleId="47">
    <w:name w:val="font51"/>
    <w:basedOn w:val="27"/>
    <w:autoRedefine/>
    <w:qFormat/>
    <w:uiPriority w:val="0"/>
    <w:rPr>
      <w:rFonts w:hint="eastAsia" w:ascii="宋体" w:hAnsi="宋体" w:eastAsia="宋体" w:cs="宋体"/>
      <w:color w:val="000000"/>
      <w:sz w:val="20"/>
      <w:szCs w:val="20"/>
      <w:u w:val="none"/>
    </w:rPr>
  </w:style>
  <w:style w:type="paragraph" w:customStyle="1" w:styleId="48">
    <w:name w:val="TC表标"/>
    <w:basedOn w:val="1"/>
    <w:autoRedefine/>
    <w:qFormat/>
    <w:uiPriority w:val="0"/>
    <w:pPr>
      <w:jc w:val="center"/>
    </w:pPr>
    <w:rPr>
      <w:rFonts w:ascii="宋体" w:hAnsi="宋体"/>
      <w:b/>
      <w:bCs/>
      <w:color w:val="000000"/>
      <w:sz w:val="24"/>
    </w:rPr>
  </w:style>
  <w:style w:type="paragraph" w:customStyle="1" w:styleId="49">
    <w:name w:val="TC正文"/>
    <w:basedOn w:val="2"/>
    <w:autoRedefine/>
    <w:qFormat/>
    <w:uiPriority w:val="0"/>
    <w:pPr>
      <w:spacing w:after="0"/>
      <w:ind w:left="0" w:leftChars="0" w:firstLine="480"/>
    </w:pPr>
  </w:style>
  <w:style w:type="paragraph" w:customStyle="1" w:styleId="50">
    <w:name w:val="表格标题"/>
    <w:basedOn w:val="11"/>
    <w:next w:val="13"/>
    <w:autoRedefine/>
    <w:qFormat/>
    <w:uiPriority w:val="0"/>
    <w:pPr>
      <w:widowControl/>
      <w:ind w:firstLine="0"/>
      <w:jc w:val="center"/>
    </w:pPr>
    <w:rPr>
      <w:b/>
      <w:u w:val="single" w:color="FFFFFF"/>
    </w:rPr>
  </w:style>
  <w:style w:type="paragraph" w:customStyle="1" w:styleId="51">
    <w:name w:val="环评报告表表格"/>
    <w:basedOn w:val="1"/>
    <w:autoRedefine/>
    <w:qFormat/>
    <w:uiPriority w:val="0"/>
    <w:rPr>
      <w:rFonts w:hint="eastAsia"/>
      <w:sz w:val="21"/>
      <w:szCs w:val="21"/>
    </w:rPr>
  </w:style>
  <w:style w:type="paragraph" w:styleId="52">
    <w:name w:val="No Spacing"/>
    <w:autoRedefine/>
    <w:qFormat/>
    <w:uiPriority w:val="1"/>
    <w:pPr>
      <w:widowControl w:val="0"/>
      <w:adjustRightInd w:val="0"/>
      <w:snapToGrid w:val="0"/>
      <w:jc w:val="center"/>
    </w:pPr>
    <w:rPr>
      <w:rFonts w:ascii="Times New Roman" w:hAnsi="Times New Roman" w:eastAsia="黑体" w:cstheme="minorBidi"/>
      <w:kern w:val="2"/>
      <w:sz w:val="24"/>
      <w:szCs w:val="22"/>
      <w:lang w:val="en-US" w:eastAsia="zh-CN" w:bidi="ar-SA"/>
    </w:rPr>
  </w:style>
  <w:style w:type="paragraph" w:customStyle="1" w:styleId="53">
    <w:name w:val="表格5号"/>
    <w:basedOn w:val="1"/>
    <w:autoRedefine/>
    <w:qFormat/>
    <w:uiPriority w:val="0"/>
    <w:rPr>
      <w:sz w:val="21"/>
    </w:rPr>
  </w:style>
  <w:style w:type="paragraph" w:customStyle="1" w:styleId="54">
    <w:name w:val="二级标题"/>
    <w:basedOn w:val="1"/>
    <w:qFormat/>
    <w:uiPriority w:val="0"/>
    <w:pPr>
      <w:spacing w:line="360" w:lineRule="auto"/>
      <w:jc w:val="left"/>
    </w:pPr>
    <w:rPr>
      <w:rFonts w:ascii="宋体" w:hAnsi="宋体" w:cs="宋体"/>
      <w:b/>
      <w:bCs/>
      <w:sz w:val="28"/>
      <w:szCs w:val="21"/>
    </w:rPr>
  </w:style>
  <w:style w:type="paragraph" w:customStyle="1" w:styleId="55">
    <w:name w:val="表格式"/>
    <w:basedOn w:val="21"/>
    <w:qFormat/>
    <w:uiPriority w:val="0"/>
    <w:pPr>
      <w:spacing w:line="440" w:lineRule="exact"/>
      <w:jc w:val="center"/>
      <w:textAlignment w:val="center"/>
    </w:pPr>
    <w:rPr>
      <w:rFonts w:ascii="宋体" w:hAnsi="华文中宋"/>
      <w:color w:val="000000"/>
      <w:szCs w:val="20"/>
    </w:rPr>
  </w:style>
  <w:style w:type="paragraph" w:customStyle="1" w:styleId="56">
    <w:name w:val="A标准格式"/>
    <w:basedOn w:val="1"/>
    <w:autoRedefine/>
    <w:qFormat/>
    <w:uiPriority w:val="99"/>
    <w:pPr>
      <w:ind w:firstLine="480" w:firstLineChars="200"/>
    </w:pPr>
    <w:rPr>
      <w:kern w:val="0"/>
    </w:rPr>
  </w:style>
  <w:style w:type="character" w:customStyle="1" w:styleId="57">
    <w:name w:val="标题 4 Char"/>
    <w:link w:val="7"/>
    <w:autoRedefine/>
    <w:qFormat/>
    <w:uiPriority w:val="0"/>
    <w:rPr>
      <w:rFonts w:cstheme="majorBidi"/>
      <w:bCs/>
      <w:szCs w:val="28"/>
    </w:rPr>
  </w:style>
  <w:style w:type="paragraph" w:customStyle="1" w:styleId="58">
    <w:name w:val="新格式表"/>
    <w:basedOn w:val="1"/>
    <w:autoRedefine/>
    <w:qFormat/>
    <w:uiPriority w:val="0"/>
    <w:pPr>
      <w:spacing w:line="240" w:lineRule="auto"/>
      <w:ind w:firstLine="0" w:firstLineChars="0"/>
      <w:jc w:val="center"/>
    </w:pPr>
    <w:rPr>
      <w:snapToGrid w:val="0"/>
      <w:color w:val="000000" w:themeColor="text1"/>
      <w:sz w:val="21"/>
      <w:szCs w:val="21"/>
      <w14:textFill>
        <w14:solidFill>
          <w14:schemeClr w14:val="tx1"/>
        </w14:solidFill>
      </w14:textFill>
    </w:rPr>
  </w:style>
  <w:style w:type="paragraph" w:customStyle="1" w:styleId="59">
    <w:name w:val="表标题-zl"/>
    <w:basedOn w:val="31"/>
    <w:qFormat/>
    <w:uiPriority w:val="0"/>
    <w:pPr>
      <w:spacing w:before="120" w:beforeLines="50" w:line="240" w:lineRule="auto"/>
      <w:ind w:firstLine="0" w:firstLineChars="0"/>
      <w:jc w:val="center"/>
    </w:pPr>
    <w:rPr>
      <w:b/>
      <w:bCs/>
      <w:sz w:val="21"/>
      <w:szCs w:val="21"/>
    </w:rPr>
  </w:style>
  <w:style w:type="paragraph" w:customStyle="1" w:styleId="60">
    <w:name w:val="表格内"/>
    <w:basedOn w:val="41"/>
    <w:qFormat/>
    <w:uiPriority w:val="0"/>
    <w:pPr>
      <w:widowControl/>
      <w:jc w:val="center"/>
    </w:pPr>
    <w:rPr>
      <w:szCs w:val="21"/>
    </w:rPr>
  </w:style>
  <w:style w:type="paragraph" w:customStyle="1" w:styleId="61">
    <w:name w:val="表内-zl"/>
    <w:basedOn w:val="1"/>
    <w:qFormat/>
    <w:uiPriority w:val="0"/>
    <w:pPr>
      <w:widowControl/>
      <w:jc w:val="center"/>
    </w:pPr>
    <w:rPr>
      <w:color w:val="000000"/>
      <w:kern w:val="0"/>
      <w:sz w:val="18"/>
      <w:szCs w:val="18"/>
    </w:rPr>
  </w:style>
  <w:style w:type="paragraph" w:customStyle="1" w:styleId="62">
    <w:name w:val="正文文字 5"/>
    <w:basedOn w:val="1"/>
    <w:next w:val="1"/>
    <w:qFormat/>
    <w:uiPriority w:val="99"/>
    <w:pPr>
      <w:spacing w:line="360" w:lineRule="auto"/>
      <w:ind w:firstLine="200" w:firstLineChars="200"/>
      <w:jc w:val="left"/>
    </w:pPr>
    <w:rPr>
      <w:rFonts w:eastAsia="仿宋_GB2312"/>
      <w:b/>
      <w:bCs/>
      <w:i/>
      <w:iCs/>
      <w:sz w:val="24"/>
    </w:rPr>
  </w:style>
  <w:style w:type="paragraph" w:customStyle="1" w:styleId="63">
    <w:name w:val="Table Text"/>
    <w:basedOn w:val="1"/>
    <w:semiHidden/>
    <w:qFormat/>
    <w:uiPriority w:val="0"/>
    <w:rPr>
      <w:rFonts w:ascii="宋体" w:hAnsi="宋体" w:eastAsia="宋体" w:cs="宋体"/>
      <w:sz w:val="24"/>
      <w:szCs w:val="24"/>
      <w:lang w:val="en-US" w:eastAsia="en-US" w:bidi="ar-SA"/>
    </w:rPr>
  </w:style>
  <w:style w:type="character" w:customStyle="1" w:styleId="64">
    <w:name w:val="font31"/>
    <w:basedOn w:val="27"/>
    <w:qFormat/>
    <w:uiPriority w:val="0"/>
    <w:rPr>
      <w:rFonts w:ascii="宋体" w:hAnsi="宋体" w:eastAsia="宋体" w:cs="宋体"/>
      <w:b/>
      <w:bCs/>
      <w:color w:val="000000"/>
      <w:sz w:val="28"/>
      <w:szCs w:val="28"/>
      <w:u w:val="none"/>
    </w:rPr>
  </w:style>
  <w:style w:type="character" w:customStyle="1" w:styleId="65">
    <w:name w:val="font41"/>
    <w:basedOn w:val="27"/>
    <w:qFormat/>
    <w:uiPriority w:val="0"/>
    <w:rPr>
      <w:rFonts w:ascii="宋体" w:hAnsi="宋体" w:eastAsia="宋体" w:cs="宋体"/>
      <w:color w:val="000000"/>
      <w:sz w:val="28"/>
      <w:szCs w:val="28"/>
      <w:u w:val="none"/>
    </w:rPr>
  </w:style>
  <w:style w:type="paragraph" w:customStyle="1" w:styleId="66">
    <w:name w:val="小表内容"/>
    <w:basedOn w:val="67"/>
    <w:qFormat/>
    <w:uiPriority w:val="0"/>
    <w:pPr>
      <w:spacing w:line="240" w:lineRule="auto"/>
      <w:ind w:firstLine="0" w:firstLineChars="0"/>
      <w:jc w:val="center"/>
    </w:pPr>
    <w:rPr>
      <w:sz w:val="21"/>
    </w:rPr>
  </w:style>
  <w:style w:type="paragraph" w:customStyle="1" w:styleId="67">
    <w:name w:val="大表内容"/>
    <w:basedOn w:val="1"/>
    <w:qFormat/>
    <w:uiPriority w:val="0"/>
    <w:pPr>
      <w:adjustRightInd w:val="0"/>
      <w:snapToGrid w:val="0"/>
      <w:spacing w:line="360" w:lineRule="auto"/>
      <w:ind w:firstLine="200" w:firstLineChars="200"/>
    </w:pPr>
    <w:rPr>
      <w:rFonts w:ascii="Times New Roman" w:hAnsi="Times New Roman" w:eastAsia="宋体" w:cs="宋体"/>
      <w:bCs/>
      <w:szCs w:val="21"/>
    </w:rPr>
  </w:style>
  <w:style w:type="character" w:customStyle="1" w:styleId="68">
    <w:name w:val="font21"/>
    <w:basedOn w:val="27"/>
    <w:qFormat/>
    <w:uiPriority w:val="0"/>
    <w:rPr>
      <w:rFonts w:ascii="宋体" w:hAnsi="宋体" w:eastAsia="宋体" w:cs="宋体"/>
      <w:color w:val="000000"/>
      <w:sz w:val="28"/>
      <w:szCs w:val="28"/>
      <w:u w:val="none"/>
    </w:rPr>
  </w:style>
  <w:style w:type="character" w:customStyle="1" w:styleId="69">
    <w:name w:val="font121"/>
    <w:basedOn w:val="27"/>
    <w:qFormat/>
    <w:uiPriority w:val="0"/>
    <w:rPr>
      <w:rFonts w:ascii="宋体" w:hAnsi="宋体" w:eastAsia="宋体" w:cs="宋体"/>
      <w:b/>
      <w:bCs/>
      <w:color w:val="000000"/>
      <w:sz w:val="28"/>
      <w:szCs w:val="28"/>
      <w:u w:val="none"/>
    </w:rPr>
  </w:style>
  <w:style w:type="character" w:customStyle="1" w:styleId="70">
    <w:name w:val="font131"/>
    <w:basedOn w:val="27"/>
    <w:qFormat/>
    <w:uiPriority w:val="0"/>
    <w:rPr>
      <w:rFonts w:ascii="宋体" w:hAnsi="宋体" w:eastAsia="宋体" w:cs="宋体"/>
      <w:color w:val="000000"/>
      <w:sz w:val="28"/>
      <w:szCs w:val="28"/>
      <w:u w:val="none"/>
    </w:rPr>
  </w:style>
  <w:style w:type="character" w:customStyle="1" w:styleId="71">
    <w:name w:val="font71"/>
    <w:basedOn w:val="27"/>
    <w:qFormat/>
    <w:uiPriority w:val="0"/>
    <w:rPr>
      <w:rFonts w:ascii="宋体" w:hAnsi="宋体" w:eastAsia="宋体" w:cs="宋体"/>
      <w:color w:val="707060"/>
      <w:sz w:val="14"/>
      <w:szCs w:val="14"/>
      <w:u w:val="none"/>
    </w:rPr>
  </w:style>
  <w:style w:type="character" w:customStyle="1" w:styleId="72">
    <w:name w:val="font81"/>
    <w:basedOn w:val="27"/>
    <w:qFormat/>
    <w:uiPriority w:val="0"/>
    <w:rPr>
      <w:rFonts w:ascii="宋体" w:hAnsi="宋体" w:eastAsia="宋体" w:cs="宋体"/>
      <w:color w:val="505040"/>
      <w:sz w:val="14"/>
      <w:szCs w:val="14"/>
      <w:u w:val="none"/>
    </w:rPr>
  </w:style>
  <w:style w:type="character" w:customStyle="1" w:styleId="73">
    <w:name w:val="font101"/>
    <w:basedOn w:val="27"/>
    <w:qFormat/>
    <w:uiPriority w:val="0"/>
    <w:rPr>
      <w:rFonts w:ascii="宋体" w:hAnsi="宋体" w:eastAsia="宋体" w:cs="宋体"/>
      <w:color w:val="606060"/>
      <w:sz w:val="14"/>
      <w:szCs w:val="14"/>
      <w:u w:val="none"/>
    </w:rPr>
  </w:style>
  <w:style w:type="paragraph" w:customStyle="1" w:styleId="74">
    <w:name w:val="Table Paragraph"/>
    <w:basedOn w:val="1"/>
    <w:qFormat/>
    <w:uiPriority w:val="1"/>
    <w:pPr>
      <w:jc w:val="center"/>
    </w:pPr>
    <w:rPr>
      <w:rFonts w:ascii="宋体" w:hAnsi="宋体" w:cs="宋体"/>
      <w:kern w:val="0"/>
      <w:sz w:val="22"/>
      <w:szCs w:val="22"/>
      <w:lang w:eastAsia="en-US"/>
    </w:rPr>
  </w:style>
  <w:style w:type="paragraph" w:customStyle="1" w:styleId="75">
    <w:name w:val="样式3"/>
    <w:basedOn w:val="1"/>
    <w:qFormat/>
    <w:uiPriority w:val="0"/>
    <w:pPr>
      <w:autoSpaceDE w:val="0"/>
      <w:autoSpaceDN w:val="0"/>
      <w:snapToGrid w:val="0"/>
      <w:spacing w:before="120" w:line="460" w:lineRule="atLeast"/>
      <w:jc w:val="center"/>
    </w:pPr>
    <w:rPr>
      <w:rFonts w:ascii="方正书宋简体" w:hAnsi="方正书宋简体" w:eastAsia="Lucida Console" w:cs="方正书宋简体"/>
      <w:sz w:val="28"/>
    </w:rPr>
  </w:style>
  <w:style w:type="paragraph" w:customStyle="1" w:styleId="76">
    <w:name w:val="小表表图头"/>
    <w:basedOn w:val="67"/>
    <w:qFormat/>
    <w:uiPriority w:val="0"/>
    <w:pPr>
      <w:spacing w:line="240" w:lineRule="auto"/>
      <w:ind w:firstLine="0" w:firstLineChars="0"/>
      <w:jc w:val="center"/>
    </w:pPr>
    <w:rPr>
      <w:b/>
      <w:sz w:val="21"/>
    </w:rPr>
  </w:style>
  <w:style w:type="paragraph" w:customStyle="1" w:styleId="77">
    <w:name w:val="铜表正1"/>
    <w:basedOn w:val="1"/>
    <w:qFormat/>
    <w:uiPriority w:val="0"/>
    <w:pPr>
      <w:autoSpaceDE w:val="0"/>
      <w:autoSpaceDN w:val="0"/>
      <w:adjustRightInd w:val="0"/>
      <w:jc w:val="left"/>
    </w:pPr>
    <w:rPr>
      <w:rFonts w:cs="宋体"/>
      <w:kern w:val="0"/>
    </w:rPr>
  </w:style>
  <w:style w:type="paragraph" w:customStyle="1" w:styleId="78">
    <w:name w:val="正文文本，表格"/>
    <w:basedOn w:val="1"/>
    <w:qFormat/>
    <w:uiPriority w:val="0"/>
    <w:pPr>
      <w:spacing w:line="240" w:lineRule="auto"/>
      <w:jc w:val="center"/>
    </w:pPr>
    <w:rPr>
      <w:sz w:val="21"/>
      <w:szCs w:val="21"/>
    </w:rPr>
  </w:style>
  <w:style w:type="paragraph" w:customStyle="1" w:styleId="79">
    <w:name w:val="表格正文"/>
    <w:basedOn w:val="8"/>
    <w:next w:val="1"/>
    <w:qFormat/>
    <w:uiPriority w:val="0"/>
    <w:pPr>
      <w:spacing w:line="360" w:lineRule="exact"/>
      <w:jc w:val="center"/>
    </w:pPr>
    <w:rPr>
      <w:szCs w:val="24"/>
    </w:rPr>
  </w:style>
  <w:style w:type="paragraph" w:customStyle="1" w:styleId="80">
    <w:name w:val="小五中粗"/>
    <w:basedOn w:val="81"/>
    <w:autoRedefine/>
    <w:qFormat/>
    <w:uiPriority w:val="0"/>
    <w:rPr>
      <w:b/>
    </w:rPr>
  </w:style>
  <w:style w:type="paragraph" w:customStyle="1" w:styleId="81">
    <w:name w:val="宋五中"/>
    <w:basedOn w:val="1"/>
    <w:autoRedefine/>
    <w:qFormat/>
    <w:uiPriority w:val="0"/>
    <w:pPr>
      <w:spacing w:line="240" w:lineRule="auto"/>
      <w:contextualSpacing/>
      <w:jc w:val="center"/>
    </w:pPr>
    <w:rPr>
      <w:bCs/>
      <w:color w:val="000000" w:themeColor="text1"/>
      <w:sz w:val="21"/>
      <w:szCs w:val="21"/>
      <w14:textFill>
        <w14:solidFill>
          <w14:schemeClr w14:val="tx1"/>
        </w14:solidFill>
      </w14:textFill>
    </w:rPr>
  </w:style>
  <w:style w:type="paragraph" w:customStyle="1" w:styleId="82">
    <w:name w:val="宋小四2"/>
    <w:basedOn w:val="1"/>
    <w:autoRedefine/>
    <w:qFormat/>
    <w:uiPriority w:val="0"/>
    <w:pPr>
      <w:ind w:firstLine="480" w:firstLineChars="200"/>
      <w:contextualSpacing/>
    </w:pPr>
    <w:rPr>
      <w:szCs w:val="24"/>
    </w:rPr>
  </w:style>
  <w:style w:type="character" w:customStyle="1" w:styleId="83">
    <w:name w:val="15"/>
    <w:qFormat/>
    <w:uiPriority w:val="0"/>
    <w:rPr>
      <w:rFonts w:hint="eastAsia" w:ascii="宋体" w:hAnsi="宋体" w:eastAsia="宋体"/>
      <w:color w:val="000000"/>
      <w:sz w:val="24"/>
      <w:szCs w:val="24"/>
    </w:rPr>
  </w:style>
  <w:style w:type="character" w:customStyle="1" w:styleId="84">
    <w:name w:val="16"/>
    <w:qFormat/>
    <w:uiPriority w:val="0"/>
    <w:rPr>
      <w:rFonts w:hint="eastAsia" w:ascii="黑体" w:hAnsi="黑体" w:eastAsia="黑体"/>
      <w:color w:val="000000"/>
      <w:sz w:val="24"/>
      <w:szCs w:val="24"/>
    </w:rPr>
  </w:style>
  <w:style w:type="paragraph" w:customStyle="1" w:styleId="85">
    <w:name w:val="表中文字"/>
    <w:basedOn w:val="1"/>
    <w:qFormat/>
    <w:uiPriority w:val="0"/>
    <w:pPr>
      <w:spacing w:line="300" w:lineRule="exact"/>
      <w:jc w:val="center"/>
    </w:pPr>
    <w:rPr>
      <w:color w:val="000000"/>
    </w:rPr>
  </w:style>
  <w:style w:type="paragraph" w:customStyle="1" w:styleId="86">
    <w:name w:val="xl22"/>
    <w:basedOn w:val="1"/>
    <w:qFormat/>
    <w:uiPriority w:val="0"/>
    <w:pPr>
      <w:widowControl/>
      <w:spacing w:before="100" w:beforeLines="0" w:after="100" w:afterLines="0"/>
      <w:jc w:val="center"/>
    </w:pPr>
    <w:rPr>
      <w:kern w:val="0"/>
      <w:sz w:val="24"/>
      <w:szCs w:val="24"/>
    </w:rPr>
  </w:style>
  <w:style w:type="paragraph" w:customStyle="1" w:styleId="87">
    <w:name w:val="24磅正文"/>
    <w:basedOn w:val="1"/>
    <w:qFormat/>
    <w:uiPriority w:val="0"/>
    <w:pPr>
      <w:spacing w:line="480" w:lineRule="exact"/>
      <w:ind w:firstLine="48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26.jpeg"/><Relationship Id="rId41" Type="http://schemas.openxmlformats.org/officeDocument/2006/relationships/image" Target="media/image25.jpeg"/><Relationship Id="rId40" Type="http://schemas.openxmlformats.org/officeDocument/2006/relationships/image" Target="media/image24.jpeg"/><Relationship Id="rId4" Type="http://schemas.openxmlformats.org/officeDocument/2006/relationships/endnotes" Target="endnotes.xml"/><Relationship Id="rId39" Type="http://schemas.openxmlformats.org/officeDocument/2006/relationships/image" Target="media/image23.jpeg"/><Relationship Id="rId38" Type="http://schemas.openxmlformats.org/officeDocument/2006/relationships/image" Target="media/image22.jpeg"/><Relationship Id="rId37" Type="http://schemas.openxmlformats.org/officeDocument/2006/relationships/image" Target="media/image21.png"/><Relationship Id="rId36" Type="http://schemas.openxmlformats.org/officeDocument/2006/relationships/image" Target="media/image20.jpe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wmf"/><Relationship Id="rId27" Type="http://schemas.openxmlformats.org/officeDocument/2006/relationships/image" Target="media/image11.png"/><Relationship Id="rId26" Type="http://schemas.openxmlformats.org/officeDocument/2006/relationships/image" Target="media/image10.emf"/><Relationship Id="rId25" Type="http://schemas.openxmlformats.org/officeDocument/2006/relationships/oleObject" Target="embeddings/oleObject3.bin"/><Relationship Id="rId24" Type="http://schemas.openxmlformats.org/officeDocument/2006/relationships/image" Target="media/image9.emf"/><Relationship Id="rId23" Type="http://schemas.openxmlformats.org/officeDocument/2006/relationships/oleObject" Target="embeddings/oleObject2.bin"/><Relationship Id="rId22" Type="http://schemas.openxmlformats.org/officeDocument/2006/relationships/image" Target="media/image8.emf"/><Relationship Id="rId21" Type="http://schemas.openxmlformats.org/officeDocument/2006/relationships/oleObject" Target="embeddings/oleObject1.bin"/><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18077</Words>
  <Characters>19414</Characters>
  <Lines>0</Lines>
  <Paragraphs>0</Paragraphs>
  <TotalTime>7</TotalTime>
  <ScaleCrop>false</ScaleCrop>
  <LinksUpToDate>false</LinksUpToDate>
  <CharactersWithSpaces>19510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2025-07-01T06:19:00Z</dcterms:created>
  <dc:creator>晨熙</dc:creator>
  <cp:lastModifiedBy>Z心怡</cp:lastModifiedBy>
  <cp:lastPrinted>2025-11-18T09:03:00Z</cp:lastPrinted>
  <dcterms:modified xsi:type="dcterms:W3CDTF">2026-07-01T04:00:30Z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5A6693BA345D4DDFA975BF4D238923E7_13</vt:lpwstr>
  </property>
  <property fmtid="{D5CDD505-2E9C-101B-9397-08002B2CF9AE}" pid="4" name="KSOTemplateDocerSaveRecord">
    <vt:lpwstr>eyJoZGlkIjoiZTk4NmM3OTQ3YjAwM2I2ZDNlZGU2MGQ3NDA5NGY1MTUiLCJ1c2VySWQiOiIxMDc5NjM4NzMxIn0=</vt:lpwstr>
  </property>
</Properties>
</file>